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6F81" w14:textId="0122CDAC" w:rsidR="007B6172" w:rsidRPr="005748EE" w:rsidRDefault="007B6172" w:rsidP="007B6172">
      <w:pPr>
        <w:spacing w:line="360" w:lineRule="auto"/>
        <w:jc w:val="right"/>
        <w:rPr>
          <w:rFonts w:ascii="Arial" w:hAnsi="Arial" w:cs="Arial"/>
        </w:rPr>
      </w:pPr>
      <w:bookmarkStart w:id="0" w:name="_Hlk95401893"/>
      <w:bookmarkStart w:id="1" w:name="_GoBack"/>
      <w:bookmarkEnd w:id="1"/>
      <w:r w:rsidRPr="005748EE">
        <w:rPr>
          <w:rFonts w:ascii="Arial" w:hAnsi="Arial" w:cs="Arial"/>
        </w:rPr>
        <w:t xml:space="preserve">Toluca de Lerdo, México, a </w:t>
      </w:r>
      <w:r>
        <w:rPr>
          <w:rFonts w:ascii="Arial" w:hAnsi="Arial" w:cs="Arial"/>
        </w:rPr>
        <w:t>1</w:t>
      </w:r>
      <w:r w:rsidR="00330087">
        <w:rPr>
          <w:rFonts w:ascii="Arial" w:hAnsi="Arial" w:cs="Arial"/>
        </w:rPr>
        <w:t>5</w:t>
      </w:r>
      <w:r w:rsidRPr="005748EE">
        <w:rPr>
          <w:rFonts w:ascii="Arial" w:hAnsi="Arial" w:cs="Arial"/>
        </w:rPr>
        <w:t xml:space="preserve"> de </w:t>
      </w:r>
      <w:r>
        <w:rPr>
          <w:rFonts w:ascii="Arial" w:hAnsi="Arial" w:cs="Arial"/>
        </w:rPr>
        <w:t>septiembre</w:t>
      </w:r>
      <w:r w:rsidRPr="005748EE">
        <w:rPr>
          <w:rFonts w:ascii="Arial" w:hAnsi="Arial" w:cs="Arial"/>
        </w:rPr>
        <w:t xml:space="preserve"> de 2022</w:t>
      </w:r>
    </w:p>
    <w:bookmarkEnd w:id="0"/>
    <w:p w14:paraId="75445B7C" w14:textId="77777777" w:rsidR="007B6172" w:rsidRDefault="007B6172" w:rsidP="007B6172">
      <w:pPr>
        <w:pStyle w:val="Sinespaciado"/>
        <w:jc w:val="both"/>
        <w:rPr>
          <w:rFonts w:ascii="Arial" w:hAnsi="Arial" w:cs="Arial"/>
          <w:b/>
          <w:sz w:val="24"/>
          <w:szCs w:val="24"/>
        </w:rPr>
      </w:pPr>
    </w:p>
    <w:p w14:paraId="5A76AA04" w14:textId="77777777" w:rsidR="007B6172" w:rsidRPr="00784EF4" w:rsidRDefault="007B6172" w:rsidP="007B6172">
      <w:pPr>
        <w:pStyle w:val="Sinespaciado"/>
        <w:jc w:val="both"/>
        <w:rPr>
          <w:rFonts w:ascii="Arial" w:hAnsi="Arial" w:cs="Arial"/>
          <w:b/>
          <w:sz w:val="24"/>
          <w:szCs w:val="24"/>
        </w:rPr>
      </w:pPr>
      <w:r w:rsidRPr="00784EF4">
        <w:rPr>
          <w:rFonts w:ascii="Arial" w:hAnsi="Arial" w:cs="Arial"/>
          <w:b/>
          <w:sz w:val="24"/>
          <w:szCs w:val="24"/>
        </w:rPr>
        <w:t>DIPUTADO ENRIQUE EDGARDO JACOB ROCHA</w:t>
      </w:r>
    </w:p>
    <w:p w14:paraId="156552F7" w14:textId="1B9B4DB0" w:rsidR="007B6172" w:rsidRPr="003D3EED" w:rsidRDefault="007B6172" w:rsidP="007B6172">
      <w:pPr>
        <w:rPr>
          <w:rFonts w:ascii="Arial" w:hAnsi="Arial" w:cs="Arial"/>
          <w:b/>
          <w:sz w:val="24"/>
          <w:szCs w:val="24"/>
        </w:rPr>
      </w:pPr>
      <w:r w:rsidRPr="003D3EED">
        <w:rPr>
          <w:rFonts w:ascii="Arial" w:hAnsi="Arial" w:cs="Arial"/>
          <w:b/>
          <w:sz w:val="24"/>
          <w:szCs w:val="24"/>
        </w:rPr>
        <w:t>PRESIDENT</w:t>
      </w:r>
      <w:r w:rsidR="0080066C">
        <w:rPr>
          <w:rFonts w:ascii="Arial" w:hAnsi="Arial" w:cs="Arial"/>
          <w:b/>
          <w:sz w:val="24"/>
          <w:szCs w:val="24"/>
        </w:rPr>
        <w:t>E</w:t>
      </w:r>
      <w:r w:rsidRPr="003D3EED">
        <w:rPr>
          <w:rFonts w:ascii="Arial" w:hAnsi="Arial" w:cs="Arial"/>
          <w:b/>
          <w:sz w:val="24"/>
          <w:szCs w:val="24"/>
        </w:rPr>
        <w:t xml:space="preserve"> DE LA MESA DIRECTIVA </w:t>
      </w:r>
    </w:p>
    <w:p w14:paraId="6B2C9CB4" w14:textId="77777777" w:rsidR="007B6172" w:rsidRPr="003D3EED" w:rsidRDefault="007B6172" w:rsidP="007B6172">
      <w:pPr>
        <w:tabs>
          <w:tab w:val="left" w:pos="7080"/>
        </w:tabs>
        <w:rPr>
          <w:rFonts w:ascii="Arial" w:hAnsi="Arial" w:cs="Arial"/>
          <w:b/>
          <w:sz w:val="24"/>
          <w:szCs w:val="24"/>
        </w:rPr>
      </w:pPr>
      <w:r w:rsidRPr="003D3EED">
        <w:rPr>
          <w:rFonts w:ascii="Arial" w:hAnsi="Arial" w:cs="Arial"/>
          <w:b/>
          <w:sz w:val="24"/>
          <w:szCs w:val="24"/>
        </w:rPr>
        <w:t>H. LXI LEGISLATURA DEL MÉXICO.</w:t>
      </w:r>
      <w:r>
        <w:rPr>
          <w:rFonts w:ascii="Arial" w:hAnsi="Arial" w:cs="Arial"/>
          <w:b/>
          <w:sz w:val="24"/>
          <w:szCs w:val="24"/>
        </w:rPr>
        <w:tab/>
      </w:r>
    </w:p>
    <w:p w14:paraId="29849077" w14:textId="77777777" w:rsidR="007B6172" w:rsidRPr="003D3EED" w:rsidRDefault="007B6172" w:rsidP="007B6172">
      <w:pPr>
        <w:rPr>
          <w:rFonts w:ascii="Arial" w:hAnsi="Arial" w:cs="Arial"/>
          <w:b/>
          <w:sz w:val="24"/>
          <w:szCs w:val="24"/>
        </w:rPr>
      </w:pPr>
      <w:r w:rsidRPr="003D3EED">
        <w:rPr>
          <w:rFonts w:ascii="Arial" w:hAnsi="Arial" w:cs="Arial"/>
          <w:b/>
          <w:sz w:val="24"/>
          <w:szCs w:val="24"/>
        </w:rPr>
        <w:t>PRESENTE.</w:t>
      </w:r>
    </w:p>
    <w:p w14:paraId="31097BEF" w14:textId="77777777" w:rsidR="007A616D" w:rsidRPr="00DC3577" w:rsidRDefault="007A616D" w:rsidP="007A616D">
      <w:pPr>
        <w:spacing w:line="360" w:lineRule="auto"/>
        <w:jc w:val="both"/>
        <w:rPr>
          <w:rFonts w:ascii="Arial" w:hAnsi="Arial" w:cs="Arial"/>
          <w:sz w:val="24"/>
          <w:szCs w:val="24"/>
        </w:rPr>
      </w:pPr>
    </w:p>
    <w:p w14:paraId="4EE104EB" w14:textId="291E3A56" w:rsidR="00042155" w:rsidRPr="00B7140E" w:rsidRDefault="005F62A1" w:rsidP="00042155">
      <w:pPr>
        <w:widowControl/>
        <w:autoSpaceDE/>
        <w:autoSpaceDN/>
        <w:spacing w:line="360" w:lineRule="auto"/>
        <w:jc w:val="both"/>
        <w:rPr>
          <w:rFonts w:ascii="Arial" w:hAnsi="Arial" w:cs="Arial"/>
          <w:sz w:val="24"/>
          <w:szCs w:val="24"/>
        </w:rPr>
      </w:pPr>
      <w:r>
        <w:rPr>
          <w:rFonts w:ascii="Arial" w:hAnsi="Arial" w:cs="Arial"/>
          <w:sz w:val="24"/>
          <w:szCs w:val="24"/>
        </w:rPr>
        <w:t>El</w:t>
      </w:r>
      <w:r w:rsidR="007A616D">
        <w:rPr>
          <w:rFonts w:ascii="Arial" w:hAnsi="Arial" w:cs="Arial"/>
          <w:sz w:val="24"/>
          <w:szCs w:val="24"/>
        </w:rPr>
        <w:t xml:space="preserve"> que suscribe, Dip.</w:t>
      </w:r>
      <w:r w:rsidR="007A616D" w:rsidRPr="002D5EBF">
        <w:rPr>
          <w:rFonts w:ascii="Arial" w:hAnsi="Arial" w:cs="Arial"/>
          <w:sz w:val="24"/>
          <w:szCs w:val="24"/>
        </w:rPr>
        <w:t xml:space="preserve"> </w:t>
      </w:r>
      <w:r w:rsidR="007A616D">
        <w:rPr>
          <w:rFonts w:ascii="Arial" w:hAnsi="Arial" w:cs="Arial"/>
          <w:sz w:val="24"/>
          <w:szCs w:val="24"/>
        </w:rPr>
        <w:t>Rigoberto Vargas Cervantes</w:t>
      </w:r>
      <w:r w:rsidR="007A616D" w:rsidRPr="002D5EBF">
        <w:rPr>
          <w:rFonts w:ascii="Arial" w:hAnsi="Arial" w:cs="Arial"/>
          <w:sz w:val="24"/>
          <w:szCs w:val="24"/>
        </w:rPr>
        <w:t>, con fundamento en lo dispuesto por los artículos 6 y 116 de la Constitución Política de los Estados Unidos Mexicanos; 51, fracción II; 57 y 61, fracción I de la Constitución Política del Estado Libre y Soberano de México; 28, fracción I; 30, primer párrafo; 38, fracción I; 79 y 81 de la Ley Orgánica del Poder Legislativo, así como 68 del Reglamento del Poder Legislativo del Estado; tengo a bien someter a consideración de esta Honorable Soberanía, la presente</w:t>
      </w:r>
      <w:r w:rsidR="00042155">
        <w:rPr>
          <w:rFonts w:ascii="Arial" w:hAnsi="Arial" w:cs="Arial"/>
          <w:sz w:val="24"/>
          <w:szCs w:val="24"/>
        </w:rPr>
        <w:t xml:space="preserve"> </w:t>
      </w:r>
      <w:r w:rsidR="009632E5" w:rsidRPr="00B7140E">
        <w:rPr>
          <w:rFonts w:ascii="Arial" w:hAnsi="Arial" w:cs="Arial"/>
          <w:b/>
          <w:sz w:val="24"/>
          <w:szCs w:val="24"/>
        </w:rPr>
        <w:t>iniciativa con proyecto de decreto por el que se adiciona un segundo párrafo al artículo 6.225 y una fracción VIII recorriendo la subsecuente del artículo 6.227 del Capítulo IV de los albaceas e interventores, del Código Civil del Estado de México.</w:t>
      </w:r>
    </w:p>
    <w:p w14:paraId="29868B35" w14:textId="77777777" w:rsidR="00042155" w:rsidRPr="003B0A00" w:rsidRDefault="00042155" w:rsidP="00042155">
      <w:pPr>
        <w:pStyle w:val="Textoindependiente"/>
        <w:spacing w:line="360" w:lineRule="auto"/>
        <w:jc w:val="both"/>
        <w:rPr>
          <w:rFonts w:ascii="Arial" w:hAnsi="Arial" w:cs="Arial"/>
          <w:sz w:val="20"/>
        </w:rPr>
      </w:pPr>
    </w:p>
    <w:p w14:paraId="39682CA8" w14:textId="77777777" w:rsidR="00856124" w:rsidRDefault="00856124" w:rsidP="00856124">
      <w:pPr>
        <w:widowControl/>
        <w:autoSpaceDE/>
        <w:autoSpaceDN/>
        <w:jc w:val="both"/>
        <w:rPr>
          <w:rFonts w:ascii="Arial" w:hAnsi="Arial" w:cs="Arial"/>
          <w:w w:val="90"/>
        </w:rPr>
      </w:pPr>
    </w:p>
    <w:p w14:paraId="6C85F6BB" w14:textId="77777777" w:rsidR="00D53D6F" w:rsidRPr="00856124" w:rsidRDefault="003F0CAE" w:rsidP="00856124">
      <w:pPr>
        <w:widowControl/>
        <w:autoSpaceDE/>
        <w:autoSpaceDN/>
        <w:jc w:val="center"/>
        <w:rPr>
          <w:rFonts w:ascii="Arial" w:hAnsi="Arial" w:cs="Arial"/>
          <w:b/>
        </w:rPr>
      </w:pPr>
      <w:r w:rsidRPr="00856124">
        <w:rPr>
          <w:rFonts w:ascii="Arial" w:hAnsi="Arial" w:cs="Arial"/>
          <w:b/>
          <w:w w:val="90"/>
        </w:rPr>
        <w:t>EXPOSICIÓN</w:t>
      </w:r>
      <w:r w:rsidRPr="00856124">
        <w:rPr>
          <w:rFonts w:ascii="Arial" w:hAnsi="Arial" w:cs="Arial"/>
          <w:b/>
          <w:spacing w:val="24"/>
          <w:w w:val="90"/>
        </w:rPr>
        <w:t xml:space="preserve"> </w:t>
      </w:r>
      <w:r w:rsidRPr="00856124">
        <w:rPr>
          <w:rFonts w:ascii="Arial" w:hAnsi="Arial" w:cs="Arial"/>
          <w:b/>
          <w:w w:val="90"/>
        </w:rPr>
        <w:t>DE</w:t>
      </w:r>
      <w:r w:rsidRPr="00856124">
        <w:rPr>
          <w:rFonts w:ascii="Arial" w:hAnsi="Arial" w:cs="Arial"/>
          <w:b/>
          <w:spacing w:val="24"/>
          <w:w w:val="90"/>
        </w:rPr>
        <w:t xml:space="preserve"> </w:t>
      </w:r>
      <w:r w:rsidRPr="00856124">
        <w:rPr>
          <w:rFonts w:ascii="Arial" w:hAnsi="Arial" w:cs="Arial"/>
          <w:b/>
          <w:w w:val="90"/>
        </w:rPr>
        <w:t>MOTIVOS</w:t>
      </w:r>
    </w:p>
    <w:p w14:paraId="6A574BA2" w14:textId="77777777" w:rsidR="000C1452" w:rsidRPr="000C1452" w:rsidRDefault="000C1452" w:rsidP="000C1452">
      <w:pPr>
        <w:pStyle w:val="Textoindependiente"/>
        <w:spacing w:before="2" w:line="276" w:lineRule="auto"/>
        <w:jc w:val="both"/>
        <w:rPr>
          <w:rFonts w:ascii="Arial" w:hAnsi="Arial" w:cs="Arial"/>
          <w:w w:val="95"/>
        </w:rPr>
      </w:pPr>
    </w:p>
    <w:p w14:paraId="7BBA6AA0" w14:textId="0B016F63" w:rsidR="00BC13B3" w:rsidRPr="00042155" w:rsidRDefault="00AD5D6C" w:rsidP="00D553EF">
      <w:pPr>
        <w:pStyle w:val="Textoindependiente"/>
        <w:spacing w:before="2" w:line="360" w:lineRule="auto"/>
        <w:jc w:val="both"/>
        <w:rPr>
          <w:rFonts w:ascii="Arial" w:hAnsi="Arial" w:cs="Arial"/>
        </w:rPr>
      </w:pPr>
      <w:r>
        <w:rPr>
          <w:rFonts w:ascii="Arial" w:hAnsi="Arial" w:cs="Arial"/>
        </w:rPr>
        <w:t>P</w:t>
      </w:r>
      <w:r w:rsidR="00BC13B3" w:rsidRPr="00042155">
        <w:rPr>
          <w:rFonts w:ascii="Arial" w:hAnsi="Arial" w:cs="Arial"/>
        </w:rPr>
        <w:t xml:space="preserve">atrimonio, </w:t>
      </w:r>
      <w:r w:rsidR="008B0EC7">
        <w:rPr>
          <w:rFonts w:ascii="Arial" w:hAnsi="Arial" w:cs="Arial"/>
        </w:rPr>
        <w:t>se ha definido como un atributo de la personalidad consistente en un conjunto de bienes, derechos, deberes, y obligaciones susceptibles de apreciación pecuniaria, es decir apreciables en dinero, que constituyen una universalidad jurídica</w:t>
      </w:r>
      <w:r w:rsidR="00BC13B3" w:rsidRPr="00042155">
        <w:rPr>
          <w:rFonts w:ascii="Arial" w:hAnsi="Arial" w:cs="Arial"/>
        </w:rPr>
        <w:t xml:space="preserve"> </w:t>
      </w:r>
      <w:r w:rsidR="00266E01" w:rsidRPr="00042155">
        <w:rPr>
          <w:rFonts w:ascii="Arial" w:hAnsi="Arial" w:cs="Arial"/>
        </w:rPr>
        <w:t>que,</w:t>
      </w:r>
      <w:r w:rsidR="00BC13B3" w:rsidRPr="00042155">
        <w:rPr>
          <w:rFonts w:ascii="Arial" w:hAnsi="Arial" w:cs="Arial"/>
        </w:rPr>
        <w:t xml:space="preserve"> en un momento dado, constituyan una masa hereditaria.</w:t>
      </w:r>
      <w:r w:rsidR="00266E01">
        <w:rPr>
          <w:rStyle w:val="Refdenotaalpie"/>
          <w:rFonts w:ascii="Arial" w:hAnsi="Arial" w:cs="Arial"/>
        </w:rPr>
        <w:footnoteReference w:id="1"/>
      </w:r>
    </w:p>
    <w:p w14:paraId="39998578" w14:textId="1AA66AB3" w:rsidR="00BC13B3" w:rsidRDefault="00BC13B3" w:rsidP="00D553EF">
      <w:pPr>
        <w:pStyle w:val="Textoindependiente"/>
        <w:spacing w:before="2" w:line="360" w:lineRule="auto"/>
        <w:jc w:val="both"/>
        <w:rPr>
          <w:rFonts w:ascii="Arial" w:hAnsi="Arial" w:cs="Arial"/>
        </w:rPr>
      </w:pPr>
    </w:p>
    <w:p w14:paraId="647DD823" w14:textId="4B3F4590" w:rsidR="005748D4" w:rsidRDefault="005748D4" w:rsidP="00D553EF">
      <w:pPr>
        <w:pStyle w:val="Textoindependiente"/>
        <w:spacing w:before="2" w:line="360" w:lineRule="auto"/>
        <w:jc w:val="both"/>
        <w:rPr>
          <w:rFonts w:ascii="Arial" w:hAnsi="Arial" w:cs="Arial"/>
        </w:rPr>
      </w:pPr>
      <w:r>
        <w:rPr>
          <w:rFonts w:ascii="Arial" w:hAnsi="Arial" w:cs="Arial"/>
        </w:rPr>
        <w:t>Es necesario establecer que el derecho a la p</w:t>
      </w:r>
      <w:r w:rsidRPr="00042155">
        <w:rPr>
          <w:rFonts w:ascii="Arial" w:hAnsi="Arial" w:cs="Arial"/>
        </w:rPr>
        <w:t>ropiedad</w:t>
      </w:r>
      <w:r>
        <w:rPr>
          <w:rFonts w:ascii="Arial" w:hAnsi="Arial" w:cs="Arial"/>
        </w:rPr>
        <w:t xml:space="preserve"> </w:t>
      </w:r>
      <w:r w:rsidRPr="00042155">
        <w:rPr>
          <w:rFonts w:ascii="Arial" w:hAnsi="Arial" w:cs="Arial"/>
        </w:rPr>
        <w:t xml:space="preserve">se considera un derecho humano y es la facultad jurídica que tiene un individuo de poder apropiarse de un </w:t>
      </w:r>
      <w:r w:rsidRPr="00042155">
        <w:rPr>
          <w:rFonts w:ascii="Arial" w:hAnsi="Arial" w:cs="Arial"/>
        </w:rPr>
        <w:lastRenderedPageBreak/>
        <w:t>bien, el cual una vez ejercido se convierte en el derecho de propiedad respecto del bien</w:t>
      </w:r>
      <w:r>
        <w:rPr>
          <w:rStyle w:val="Refdenotaalpie"/>
          <w:rFonts w:ascii="Arial" w:hAnsi="Arial" w:cs="Arial"/>
        </w:rPr>
        <w:footnoteReference w:id="2"/>
      </w:r>
      <w:r w:rsidRPr="00042155">
        <w:rPr>
          <w:rFonts w:ascii="Arial" w:hAnsi="Arial" w:cs="Arial"/>
        </w:rPr>
        <w:t>.</w:t>
      </w:r>
    </w:p>
    <w:p w14:paraId="555C90C2" w14:textId="5B2A4E72" w:rsidR="00AD5778" w:rsidRDefault="00AD5778" w:rsidP="00D553EF">
      <w:pPr>
        <w:pStyle w:val="Textoindependiente"/>
        <w:spacing w:before="2" w:line="360" w:lineRule="auto"/>
        <w:jc w:val="both"/>
        <w:rPr>
          <w:rFonts w:ascii="Arial" w:hAnsi="Arial" w:cs="Arial"/>
        </w:rPr>
      </w:pPr>
    </w:p>
    <w:p w14:paraId="7D581FE1" w14:textId="26B4BA27" w:rsidR="005748D4" w:rsidRPr="00042155" w:rsidRDefault="00AD5778" w:rsidP="00D553EF">
      <w:pPr>
        <w:pStyle w:val="Textoindependiente"/>
        <w:spacing w:before="2" w:line="360" w:lineRule="auto"/>
        <w:jc w:val="both"/>
        <w:rPr>
          <w:rFonts w:ascii="Arial" w:hAnsi="Arial" w:cs="Arial"/>
        </w:rPr>
      </w:pPr>
      <w:r>
        <w:rPr>
          <w:rFonts w:ascii="Arial" w:hAnsi="Arial" w:cs="Arial"/>
        </w:rPr>
        <w:t xml:space="preserve">En este orden de ideas de conformidad con lo establecido en el Código Civil del </w:t>
      </w:r>
      <w:r w:rsidR="00227F1A">
        <w:rPr>
          <w:rFonts w:ascii="Arial" w:hAnsi="Arial" w:cs="Arial"/>
        </w:rPr>
        <w:t>E</w:t>
      </w:r>
      <w:r>
        <w:rPr>
          <w:rFonts w:ascii="Arial" w:hAnsi="Arial" w:cs="Arial"/>
        </w:rPr>
        <w:t>stado de México, en el Libro Sexto, D</w:t>
      </w:r>
      <w:r w:rsidRPr="00AD5778">
        <w:rPr>
          <w:rFonts w:ascii="Arial" w:hAnsi="Arial" w:cs="Arial"/>
        </w:rPr>
        <w:t>e las Sucesiones</w:t>
      </w:r>
      <w:r>
        <w:rPr>
          <w:rFonts w:ascii="Arial" w:hAnsi="Arial" w:cs="Arial"/>
        </w:rPr>
        <w:t xml:space="preserve">, Titulo Primero, </w:t>
      </w:r>
      <w:r w:rsidRPr="00AD5778">
        <w:rPr>
          <w:rFonts w:ascii="Arial" w:hAnsi="Arial" w:cs="Arial"/>
        </w:rPr>
        <w:t>Disposiciones Preliminares</w:t>
      </w:r>
      <w:r>
        <w:rPr>
          <w:rFonts w:ascii="Arial" w:hAnsi="Arial" w:cs="Arial"/>
        </w:rPr>
        <w:t>, respecto al c</w:t>
      </w:r>
      <w:r w:rsidRPr="00AD5778">
        <w:rPr>
          <w:rFonts w:ascii="Arial" w:hAnsi="Arial" w:cs="Arial"/>
        </w:rPr>
        <w:t>oncepto de sucesión, herencia y legado</w:t>
      </w:r>
      <w:r>
        <w:rPr>
          <w:rFonts w:ascii="Arial" w:hAnsi="Arial" w:cs="Arial"/>
        </w:rPr>
        <w:t xml:space="preserve"> en su artículo </w:t>
      </w:r>
      <w:r w:rsidRPr="00AD5778">
        <w:rPr>
          <w:rFonts w:ascii="Arial" w:hAnsi="Arial" w:cs="Arial"/>
        </w:rPr>
        <w:t>6.1</w:t>
      </w:r>
      <w:r>
        <w:rPr>
          <w:rFonts w:ascii="Arial" w:hAnsi="Arial" w:cs="Arial"/>
        </w:rPr>
        <w:t xml:space="preserve"> establece que la </w:t>
      </w:r>
      <w:r w:rsidRPr="00AD5778">
        <w:rPr>
          <w:rFonts w:ascii="Arial" w:hAnsi="Arial" w:cs="Arial"/>
          <w:i/>
        </w:rPr>
        <w:t>“Sucesión es la transmisión de todos los bienes, derechos y obligaciones de una persona por causa de su muerte”</w:t>
      </w:r>
      <w:r>
        <w:rPr>
          <w:rFonts w:ascii="Arial" w:hAnsi="Arial" w:cs="Arial"/>
        </w:rPr>
        <w:t xml:space="preserve"> y que </w:t>
      </w:r>
      <w:r w:rsidRPr="00AD5778">
        <w:rPr>
          <w:rFonts w:ascii="Arial" w:hAnsi="Arial" w:cs="Arial"/>
          <w:i/>
        </w:rPr>
        <w:t>“La herencia es el conjunto de bienes, derechos y obligaciones que no se extinguen con la muerte de su titular; constituye una universalidad jurídica a partir del día de la muerte del autor de la sucesión, hasta la partición y adjudicación.”</w:t>
      </w:r>
      <w:r w:rsidR="00227F1A">
        <w:rPr>
          <w:rStyle w:val="Refdenotaalpie"/>
          <w:rFonts w:ascii="Arial" w:hAnsi="Arial" w:cs="Arial"/>
          <w:i/>
        </w:rPr>
        <w:footnoteReference w:id="3"/>
      </w:r>
    </w:p>
    <w:p w14:paraId="53688BE2" w14:textId="77777777" w:rsidR="00AD5778" w:rsidRPr="00AD5778" w:rsidRDefault="00AD5778" w:rsidP="00D553EF">
      <w:pPr>
        <w:pStyle w:val="Textoindependiente"/>
        <w:spacing w:before="2" w:line="360" w:lineRule="auto"/>
        <w:jc w:val="both"/>
        <w:rPr>
          <w:rFonts w:ascii="Arial" w:hAnsi="Arial" w:cs="Arial"/>
        </w:rPr>
      </w:pPr>
    </w:p>
    <w:p w14:paraId="6D8B840A" w14:textId="6059511E" w:rsidR="00227F1A" w:rsidRPr="00227F1A" w:rsidRDefault="00AD5778" w:rsidP="00D553EF">
      <w:pPr>
        <w:pStyle w:val="Textoindependiente"/>
        <w:spacing w:before="2" w:line="360" w:lineRule="auto"/>
        <w:jc w:val="both"/>
        <w:rPr>
          <w:rFonts w:ascii="Arial" w:hAnsi="Arial" w:cs="Arial"/>
        </w:rPr>
      </w:pPr>
      <w:r>
        <w:rPr>
          <w:rFonts w:ascii="Arial" w:hAnsi="Arial" w:cs="Arial"/>
        </w:rPr>
        <w:t>Así mismo</w:t>
      </w:r>
      <w:r w:rsidR="0044285E">
        <w:rPr>
          <w:rFonts w:ascii="Arial" w:hAnsi="Arial" w:cs="Arial"/>
        </w:rPr>
        <w:t xml:space="preserve"> el</w:t>
      </w:r>
      <w:r w:rsidR="00227F1A">
        <w:rPr>
          <w:rFonts w:ascii="Arial" w:hAnsi="Arial" w:cs="Arial"/>
        </w:rPr>
        <w:t xml:space="preserve"> Código</w:t>
      </w:r>
      <w:r>
        <w:rPr>
          <w:rFonts w:ascii="Arial" w:hAnsi="Arial" w:cs="Arial"/>
        </w:rPr>
        <w:t xml:space="preserve"> en el artículo </w:t>
      </w:r>
      <w:r w:rsidRPr="00AD5778">
        <w:rPr>
          <w:rFonts w:ascii="Arial" w:hAnsi="Arial" w:cs="Arial"/>
        </w:rPr>
        <w:t>6.2</w:t>
      </w:r>
      <w:r>
        <w:rPr>
          <w:rFonts w:ascii="Arial" w:hAnsi="Arial" w:cs="Arial"/>
        </w:rPr>
        <w:t>, respecto a la h</w:t>
      </w:r>
      <w:r w:rsidRPr="00AD5778">
        <w:rPr>
          <w:rFonts w:ascii="Arial" w:hAnsi="Arial" w:cs="Arial"/>
        </w:rPr>
        <w:t>erencia testamentaria y legítima</w:t>
      </w:r>
      <w:r>
        <w:rPr>
          <w:rFonts w:ascii="Arial" w:hAnsi="Arial" w:cs="Arial"/>
        </w:rPr>
        <w:t xml:space="preserve"> estipula </w:t>
      </w:r>
      <w:r w:rsidR="008C25BD">
        <w:rPr>
          <w:rFonts w:ascii="Arial" w:hAnsi="Arial" w:cs="Arial"/>
        </w:rPr>
        <w:t>que “</w:t>
      </w:r>
      <w:r w:rsidRPr="00AD5778">
        <w:rPr>
          <w:rFonts w:ascii="Arial" w:hAnsi="Arial" w:cs="Arial"/>
          <w:i/>
        </w:rPr>
        <w:t>La herencia se defiere por la voluntad del testador o por disposición de la ley, La primera se llama testamentaria y la segunda legítima.”</w:t>
      </w:r>
      <w:r w:rsidR="00227F1A">
        <w:rPr>
          <w:rFonts w:ascii="Arial" w:hAnsi="Arial" w:cs="Arial"/>
          <w:i/>
        </w:rPr>
        <w:t xml:space="preserve">, </w:t>
      </w:r>
      <w:r w:rsidR="00227F1A" w:rsidRPr="00227F1A">
        <w:rPr>
          <w:rFonts w:ascii="Arial" w:hAnsi="Arial" w:cs="Arial"/>
        </w:rPr>
        <w:t>además</w:t>
      </w:r>
      <w:r w:rsidR="00227F1A">
        <w:rPr>
          <w:rFonts w:ascii="Arial" w:hAnsi="Arial" w:cs="Arial"/>
        </w:rPr>
        <w:t xml:space="preserve"> en el Título Segundo, </w:t>
      </w:r>
      <w:r w:rsidR="00227F1A" w:rsidRPr="00227F1A">
        <w:rPr>
          <w:rFonts w:ascii="Arial" w:hAnsi="Arial" w:cs="Arial"/>
        </w:rPr>
        <w:t>De los Derechos de la Personalidad</w:t>
      </w:r>
      <w:r w:rsidR="00227F1A">
        <w:rPr>
          <w:rFonts w:ascii="Arial" w:hAnsi="Arial" w:cs="Arial"/>
        </w:rPr>
        <w:t xml:space="preserve">, respecto a los </w:t>
      </w:r>
      <w:r w:rsidR="00227F1A" w:rsidRPr="00227F1A">
        <w:rPr>
          <w:rFonts w:ascii="Arial" w:hAnsi="Arial" w:cs="Arial"/>
        </w:rPr>
        <w:t>Atributos de la personalidad</w:t>
      </w:r>
      <w:r w:rsidR="00227F1A">
        <w:rPr>
          <w:rFonts w:ascii="Arial" w:hAnsi="Arial" w:cs="Arial"/>
        </w:rPr>
        <w:t xml:space="preserve"> en el artículo </w:t>
      </w:r>
      <w:r w:rsidR="00227F1A" w:rsidRPr="00227F1A">
        <w:rPr>
          <w:rFonts w:ascii="Arial" w:hAnsi="Arial" w:cs="Arial"/>
        </w:rPr>
        <w:t>2.3</w:t>
      </w:r>
      <w:r w:rsidR="00227F1A">
        <w:rPr>
          <w:rFonts w:ascii="Arial" w:hAnsi="Arial" w:cs="Arial"/>
        </w:rPr>
        <w:t>, señala que son “</w:t>
      </w:r>
      <w:r w:rsidR="00227F1A" w:rsidRPr="00227F1A">
        <w:rPr>
          <w:rFonts w:ascii="Arial" w:hAnsi="Arial" w:cs="Arial"/>
        </w:rPr>
        <w:t>Los atributos de la personalidad son el nombre, domicilio, estado civil y patrimonio</w:t>
      </w:r>
      <w:r w:rsidR="00227F1A">
        <w:rPr>
          <w:rFonts w:ascii="Arial" w:hAnsi="Arial" w:cs="Arial"/>
        </w:rPr>
        <w:t>”</w:t>
      </w:r>
      <w:r w:rsidR="00B00F1E">
        <w:rPr>
          <w:rFonts w:ascii="Arial" w:hAnsi="Arial" w:cs="Arial"/>
        </w:rPr>
        <w:t xml:space="preserve"> y el artículo 2.5, fracción VIII, establece en lo referente a derechos de las personas que, “</w:t>
      </w:r>
      <w:r w:rsidR="00B00F1E" w:rsidRPr="00227F1A">
        <w:rPr>
          <w:rFonts w:ascii="Arial" w:hAnsi="Arial" w:cs="Arial"/>
        </w:rPr>
        <w:t>El respeto, salvaguarda y protección de la integridad física, psicológica y patrimonial</w:t>
      </w:r>
      <w:r w:rsidR="00B00F1E">
        <w:rPr>
          <w:rFonts w:ascii="Arial" w:hAnsi="Arial" w:cs="Arial"/>
        </w:rPr>
        <w:t xml:space="preserve">” </w:t>
      </w:r>
      <w:r w:rsidR="00227F1A">
        <w:rPr>
          <w:rStyle w:val="Refdenotaalpie"/>
          <w:rFonts w:ascii="Arial" w:hAnsi="Arial" w:cs="Arial"/>
        </w:rPr>
        <w:footnoteReference w:id="4"/>
      </w:r>
      <w:r w:rsidR="00227F1A" w:rsidRPr="00227F1A">
        <w:rPr>
          <w:rFonts w:ascii="Arial" w:hAnsi="Arial" w:cs="Arial"/>
        </w:rPr>
        <w:t>.</w:t>
      </w:r>
    </w:p>
    <w:p w14:paraId="0287F4D0" w14:textId="77777777" w:rsidR="007B6172" w:rsidRDefault="007B6172" w:rsidP="00D553EF">
      <w:pPr>
        <w:pStyle w:val="Textoindependiente"/>
        <w:spacing w:before="2" w:line="360" w:lineRule="auto"/>
        <w:jc w:val="both"/>
        <w:rPr>
          <w:rFonts w:ascii="Arial" w:hAnsi="Arial" w:cs="Arial"/>
        </w:rPr>
      </w:pPr>
    </w:p>
    <w:p w14:paraId="3019A219" w14:textId="08A023BE" w:rsidR="000259A8" w:rsidRDefault="00AD5778" w:rsidP="00D553EF">
      <w:pPr>
        <w:pStyle w:val="Textoindependiente"/>
        <w:spacing w:before="2" w:line="360" w:lineRule="auto"/>
        <w:jc w:val="both"/>
        <w:rPr>
          <w:rFonts w:ascii="Arial" w:hAnsi="Arial" w:cs="Arial"/>
        </w:rPr>
      </w:pPr>
      <w:r>
        <w:rPr>
          <w:rFonts w:ascii="Arial" w:hAnsi="Arial" w:cs="Arial"/>
        </w:rPr>
        <w:t xml:space="preserve">Por lo que en la presente iniciativa se expone la problemática que existe en la legislación en materia de sucesiones y los </w:t>
      </w:r>
      <w:r w:rsidR="00752491">
        <w:rPr>
          <w:rFonts w:ascii="Arial" w:hAnsi="Arial" w:cs="Arial"/>
        </w:rPr>
        <w:t>elementos con los que cuenta el juzgador en los juicios sucesorios, para determinar y ponderar la necesidad de que sea estrictamente el</w:t>
      </w:r>
      <w:r w:rsidRPr="00042155">
        <w:rPr>
          <w:rFonts w:ascii="Arial" w:hAnsi="Arial" w:cs="Arial"/>
        </w:rPr>
        <w:t xml:space="preserve"> albacea quien deba poseer materialmente los bienes</w:t>
      </w:r>
      <w:r w:rsidR="00752491">
        <w:rPr>
          <w:rFonts w:ascii="Arial" w:hAnsi="Arial" w:cs="Arial"/>
        </w:rPr>
        <w:t xml:space="preserve"> que conforman la masa hereditaria y cuando los herederos ostentan la posesión material</w:t>
      </w:r>
      <w:r w:rsidR="000259A8">
        <w:rPr>
          <w:rFonts w:ascii="Arial" w:hAnsi="Arial" w:cs="Arial"/>
        </w:rPr>
        <w:t>.</w:t>
      </w:r>
    </w:p>
    <w:p w14:paraId="74A7233B" w14:textId="77777777" w:rsidR="000259A8" w:rsidRDefault="000259A8" w:rsidP="00D553EF">
      <w:pPr>
        <w:pStyle w:val="Textoindependiente"/>
        <w:spacing w:before="2" w:line="360" w:lineRule="auto"/>
        <w:jc w:val="both"/>
        <w:rPr>
          <w:rFonts w:ascii="Arial" w:hAnsi="Arial" w:cs="Arial"/>
        </w:rPr>
      </w:pPr>
    </w:p>
    <w:p w14:paraId="1C0EC379" w14:textId="6A75A03B" w:rsidR="00AD5778" w:rsidRPr="00042155" w:rsidRDefault="0044285E" w:rsidP="00D553EF">
      <w:pPr>
        <w:pStyle w:val="Textoindependiente"/>
        <w:spacing w:before="2" w:line="360" w:lineRule="auto"/>
        <w:jc w:val="both"/>
        <w:rPr>
          <w:rFonts w:ascii="Arial" w:hAnsi="Arial" w:cs="Arial"/>
        </w:rPr>
      </w:pPr>
      <w:r>
        <w:rPr>
          <w:rFonts w:ascii="Arial" w:hAnsi="Arial" w:cs="Arial"/>
        </w:rPr>
        <w:t>Asimismo</w:t>
      </w:r>
      <w:r w:rsidR="00985A52">
        <w:rPr>
          <w:rFonts w:ascii="Arial" w:hAnsi="Arial" w:cs="Arial"/>
        </w:rPr>
        <w:t>,</w:t>
      </w:r>
      <w:r w:rsidR="000259A8">
        <w:rPr>
          <w:rFonts w:ascii="Arial" w:hAnsi="Arial" w:cs="Arial"/>
        </w:rPr>
        <w:t xml:space="preserve"> con la normativa en la materia vigente</w:t>
      </w:r>
      <w:r>
        <w:rPr>
          <w:rFonts w:ascii="Arial" w:hAnsi="Arial" w:cs="Arial"/>
        </w:rPr>
        <w:t>, se presentan</w:t>
      </w:r>
      <w:r w:rsidR="000259A8">
        <w:rPr>
          <w:rFonts w:ascii="Arial" w:hAnsi="Arial" w:cs="Arial"/>
        </w:rPr>
        <w:t xml:space="preserve"> diversa</w:t>
      </w:r>
      <w:r>
        <w:rPr>
          <w:rFonts w:ascii="Arial" w:hAnsi="Arial" w:cs="Arial"/>
        </w:rPr>
        <w:t>s</w:t>
      </w:r>
      <w:r w:rsidR="000259A8">
        <w:rPr>
          <w:rFonts w:ascii="Arial" w:hAnsi="Arial" w:cs="Arial"/>
        </w:rPr>
        <w:t xml:space="preserve"> controversias legales en los juicios sucesorios</w:t>
      </w:r>
      <w:r>
        <w:rPr>
          <w:rFonts w:ascii="Arial" w:hAnsi="Arial" w:cs="Arial"/>
        </w:rPr>
        <w:t>,</w:t>
      </w:r>
      <w:r w:rsidR="000259A8">
        <w:rPr>
          <w:rFonts w:ascii="Arial" w:hAnsi="Arial" w:cs="Arial"/>
        </w:rPr>
        <w:t xml:space="preserve"> ya que ante la falta de un procedimiento legal que garantice el derecho de posesión de los bienes en tanto se lleva a cabo la partición de bienes</w:t>
      </w:r>
      <w:r w:rsidR="00D00428">
        <w:rPr>
          <w:rFonts w:ascii="Arial" w:hAnsi="Arial" w:cs="Arial"/>
        </w:rPr>
        <w:t xml:space="preserve">, propicia que </w:t>
      </w:r>
      <w:r w:rsidR="00D00428" w:rsidRPr="00042155">
        <w:rPr>
          <w:rFonts w:ascii="Arial" w:hAnsi="Arial" w:cs="Arial"/>
        </w:rPr>
        <w:t>el trámite sucesorio se convierta en una vía legalista</w:t>
      </w:r>
      <w:r w:rsidR="00D00428">
        <w:rPr>
          <w:rFonts w:ascii="Arial" w:hAnsi="Arial" w:cs="Arial"/>
        </w:rPr>
        <w:t xml:space="preserve"> en donde los coherederos y albacea se enfrentan a procedimientos que subsisten por años, </w:t>
      </w:r>
      <w:r w:rsidR="008C25BD">
        <w:rPr>
          <w:rFonts w:ascii="Arial" w:hAnsi="Arial" w:cs="Arial"/>
        </w:rPr>
        <w:t>así</w:t>
      </w:r>
      <w:r w:rsidR="00D00428">
        <w:rPr>
          <w:rFonts w:ascii="Arial" w:hAnsi="Arial" w:cs="Arial"/>
        </w:rPr>
        <w:t xml:space="preserve"> como a desgaste físico y económico y propicia el eventual </w:t>
      </w:r>
      <w:r w:rsidR="00AD5778" w:rsidRPr="00042155">
        <w:rPr>
          <w:rFonts w:ascii="Arial" w:hAnsi="Arial" w:cs="Arial"/>
        </w:rPr>
        <w:t>peligro de desconocer los derechos de los herederos,</w:t>
      </w:r>
      <w:r w:rsidR="00752491">
        <w:rPr>
          <w:rFonts w:ascii="Arial" w:hAnsi="Arial" w:cs="Arial"/>
        </w:rPr>
        <w:t xml:space="preserve"> </w:t>
      </w:r>
      <w:r w:rsidR="00D00428">
        <w:rPr>
          <w:rFonts w:ascii="Arial" w:hAnsi="Arial" w:cs="Arial"/>
        </w:rPr>
        <w:t xml:space="preserve">que </w:t>
      </w:r>
      <w:r w:rsidR="008C25BD">
        <w:rPr>
          <w:rFonts w:ascii="Arial" w:hAnsi="Arial" w:cs="Arial"/>
        </w:rPr>
        <w:t xml:space="preserve">impide que la </w:t>
      </w:r>
      <w:r w:rsidR="00D00428">
        <w:rPr>
          <w:rFonts w:ascii="Arial" w:hAnsi="Arial" w:cs="Arial"/>
        </w:rPr>
        <w:t xml:space="preserve">autoridad judicial </w:t>
      </w:r>
      <w:r w:rsidR="00AD5778" w:rsidRPr="00042155">
        <w:rPr>
          <w:rFonts w:ascii="Arial" w:hAnsi="Arial" w:cs="Arial"/>
        </w:rPr>
        <w:t>brind</w:t>
      </w:r>
      <w:r w:rsidR="008C25BD">
        <w:rPr>
          <w:rFonts w:ascii="Arial" w:hAnsi="Arial" w:cs="Arial"/>
        </w:rPr>
        <w:t>e</w:t>
      </w:r>
      <w:r w:rsidR="00AD5778" w:rsidRPr="00042155">
        <w:rPr>
          <w:rFonts w:ascii="Arial" w:hAnsi="Arial" w:cs="Arial"/>
        </w:rPr>
        <w:t xml:space="preserve"> seguridad jurídica, </w:t>
      </w:r>
      <w:r w:rsidR="008C25BD">
        <w:rPr>
          <w:rFonts w:ascii="Arial" w:hAnsi="Arial" w:cs="Arial"/>
        </w:rPr>
        <w:t>en estos jui</w:t>
      </w:r>
      <w:r w:rsidR="00AD5778" w:rsidRPr="00042155">
        <w:rPr>
          <w:rFonts w:ascii="Arial" w:hAnsi="Arial" w:cs="Arial"/>
        </w:rPr>
        <w:t>cios universales</w:t>
      </w:r>
      <w:r>
        <w:rPr>
          <w:rFonts w:ascii="Arial" w:hAnsi="Arial" w:cs="Arial"/>
        </w:rPr>
        <w:t xml:space="preserve"> donde debe garantizarse una</w:t>
      </w:r>
      <w:r w:rsidR="00AD5778" w:rsidRPr="00042155">
        <w:rPr>
          <w:rFonts w:ascii="Arial" w:hAnsi="Arial" w:cs="Arial"/>
        </w:rPr>
        <w:t xml:space="preserve"> ordenada y justa transmisión de los bienes de una persona fallecida.</w:t>
      </w:r>
    </w:p>
    <w:p w14:paraId="4C9F7315" w14:textId="77777777" w:rsidR="00AD5778" w:rsidRDefault="00AD5778" w:rsidP="00D553EF">
      <w:pPr>
        <w:pStyle w:val="Textoindependiente"/>
        <w:spacing w:before="2" w:line="360" w:lineRule="auto"/>
        <w:jc w:val="both"/>
        <w:rPr>
          <w:rFonts w:ascii="Arial" w:hAnsi="Arial" w:cs="Arial"/>
        </w:rPr>
      </w:pPr>
    </w:p>
    <w:p w14:paraId="6CCC8047" w14:textId="4EA54CA8" w:rsidR="00E91CAD" w:rsidRDefault="00C12016" w:rsidP="00D553EF">
      <w:pPr>
        <w:pStyle w:val="Textoindependiente"/>
        <w:spacing w:before="2" w:line="360" w:lineRule="auto"/>
        <w:jc w:val="both"/>
        <w:rPr>
          <w:rFonts w:ascii="Arial" w:hAnsi="Arial" w:cs="Arial"/>
        </w:rPr>
      </w:pPr>
      <w:r>
        <w:rPr>
          <w:rFonts w:ascii="Arial" w:hAnsi="Arial" w:cs="Arial"/>
        </w:rPr>
        <w:t>Lo anteriormente referido encuentra su fundamento jurídico en l</w:t>
      </w:r>
      <w:r w:rsidR="00E91CAD">
        <w:rPr>
          <w:rFonts w:ascii="Arial" w:hAnsi="Arial" w:cs="Arial"/>
        </w:rPr>
        <w:t xml:space="preserve">os </w:t>
      </w:r>
      <w:r w:rsidR="0044285E">
        <w:rPr>
          <w:rFonts w:ascii="Arial" w:hAnsi="Arial" w:cs="Arial"/>
        </w:rPr>
        <w:t>Tratados internacionales en</w:t>
      </w:r>
      <w:r w:rsidR="00E91CAD" w:rsidRPr="00E91CAD">
        <w:rPr>
          <w:rFonts w:ascii="Arial" w:hAnsi="Arial" w:cs="Arial"/>
        </w:rPr>
        <w:t xml:space="preserve"> los que el Estado Mexicano es parte en los que se reconocen derechos humanos</w:t>
      </w:r>
      <w:r>
        <w:rPr>
          <w:rFonts w:ascii="Arial" w:hAnsi="Arial" w:cs="Arial"/>
        </w:rPr>
        <w:t>.</w:t>
      </w:r>
      <w:r w:rsidR="005748D4">
        <w:rPr>
          <w:rStyle w:val="Refdenotaalpie"/>
          <w:rFonts w:ascii="Arial" w:hAnsi="Arial" w:cs="Arial"/>
        </w:rPr>
        <w:footnoteReference w:id="5"/>
      </w:r>
    </w:p>
    <w:p w14:paraId="1B6CD6DD" w14:textId="77777777" w:rsidR="00E91CAD" w:rsidRDefault="00E91CAD" w:rsidP="00D553EF">
      <w:pPr>
        <w:pStyle w:val="Textoindependiente"/>
        <w:spacing w:before="2" w:line="360" w:lineRule="auto"/>
        <w:jc w:val="both"/>
        <w:rPr>
          <w:rFonts w:ascii="Arial" w:hAnsi="Arial" w:cs="Arial"/>
        </w:rPr>
      </w:pPr>
    </w:p>
    <w:p w14:paraId="5A5F50E4" w14:textId="0A50882D" w:rsidR="00C12016" w:rsidRDefault="00EA28B2" w:rsidP="00D553EF">
      <w:pPr>
        <w:pStyle w:val="Textoindependiente"/>
        <w:spacing w:before="2" w:line="360" w:lineRule="auto"/>
        <w:jc w:val="both"/>
        <w:rPr>
          <w:rFonts w:ascii="Arial" w:hAnsi="Arial" w:cs="Arial"/>
        </w:rPr>
      </w:pPr>
      <w:r>
        <w:rPr>
          <w:rFonts w:ascii="Arial" w:hAnsi="Arial" w:cs="Arial"/>
        </w:rPr>
        <w:t xml:space="preserve">La </w:t>
      </w:r>
      <w:r w:rsidR="00C12016" w:rsidRPr="00C12016">
        <w:rPr>
          <w:rFonts w:ascii="Arial" w:hAnsi="Arial" w:cs="Arial"/>
        </w:rPr>
        <w:t>Declaración Universal de Derechos Humanos</w:t>
      </w:r>
      <w:r w:rsidR="00130336" w:rsidRPr="00042155">
        <w:rPr>
          <w:rFonts w:ascii="Arial" w:hAnsi="Arial" w:cs="Arial"/>
        </w:rPr>
        <w:t xml:space="preserve"> de 1981,</w:t>
      </w:r>
      <w:r>
        <w:rPr>
          <w:rFonts w:ascii="Arial" w:hAnsi="Arial" w:cs="Arial"/>
        </w:rPr>
        <w:t xml:space="preserve"> en su artículo </w:t>
      </w:r>
      <w:r w:rsidR="00C12016" w:rsidRPr="00C12016">
        <w:rPr>
          <w:rFonts w:ascii="Arial" w:hAnsi="Arial" w:cs="Arial"/>
        </w:rPr>
        <w:t>17</w:t>
      </w:r>
      <w:r>
        <w:rPr>
          <w:rFonts w:ascii="Arial" w:hAnsi="Arial" w:cs="Arial"/>
        </w:rPr>
        <w:t>, establece en sus numerales 1 y 2 lo siguiente:</w:t>
      </w:r>
    </w:p>
    <w:p w14:paraId="4E84E2AA" w14:textId="5AF87610" w:rsidR="005748EE" w:rsidRDefault="005748EE" w:rsidP="00D553EF">
      <w:pPr>
        <w:pStyle w:val="Textoindependiente"/>
        <w:spacing w:before="2" w:line="360" w:lineRule="auto"/>
        <w:jc w:val="both"/>
        <w:rPr>
          <w:rFonts w:ascii="Arial" w:hAnsi="Arial" w:cs="Arial"/>
        </w:rPr>
      </w:pPr>
    </w:p>
    <w:p w14:paraId="08D629A5" w14:textId="77777777" w:rsidR="005748EE" w:rsidRDefault="005748EE" w:rsidP="00D553EF">
      <w:pPr>
        <w:pStyle w:val="Textoindependiente"/>
        <w:spacing w:before="2" w:line="360" w:lineRule="auto"/>
        <w:jc w:val="both"/>
        <w:rPr>
          <w:rFonts w:ascii="Arial" w:hAnsi="Arial" w:cs="Arial"/>
        </w:rPr>
      </w:pPr>
    </w:p>
    <w:p w14:paraId="5C57022D" w14:textId="77777777" w:rsidR="00EA28B2" w:rsidRDefault="00EA28B2" w:rsidP="00D553EF">
      <w:pPr>
        <w:pStyle w:val="Textoindependiente"/>
        <w:spacing w:before="2" w:line="360" w:lineRule="auto"/>
        <w:jc w:val="both"/>
        <w:rPr>
          <w:rFonts w:ascii="Arial" w:hAnsi="Arial" w:cs="Arial"/>
        </w:rPr>
      </w:pPr>
    </w:p>
    <w:p w14:paraId="57E3A434" w14:textId="2D101088" w:rsidR="00EA28B2" w:rsidRPr="00EA28B2" w:rsidRDefault="00EA28B2" w:rsidP="00D553EF">
      <w:pPr>
        <w:pStyle w:val="Textoindependiente"/>
        <w:spacing w:before="2" w:line="360" w:lineRule="auto"/>
        <w:ind w:left="567" w:right="384"/>
        <w:jc w:val="both"/>
        <w:rPr>
          <w:rFonts w:ascii="Arial" w:hAnsi="Arial" w:cs="Arial"/>
          <w:i/>
        </w:rPr>
      </w:pPr>
      <w:r w:rsidRPr="00EA28B2">
        <w:rPr>
          <w:rFonts w:ascii="Arial" w:hAnsi="Arial" w:cs="Arial"/>
          <w:i/>
        </w:rPr>
        <w:t>“Artículo 17:</w:t>
      </w:r>
    </w:p>
    <w:p w14:paraId="51E3D931" w14:textId="77777777" w:rsidR="00EA28B2" w:rsidRPr="00EA28B2" w:rsidRDefault="00EA28B2" w:rsidP="00D553EF">
      <w:pPr>
        <w:pStyle w:val="Textoindependiente"/>
        <w:spacing w:before="2" w:line="360" w:lineRule="auto"/>
        <w:ind w:left="567" w:right="384"/>
        <w:jc w:val="both"/>
        <w:rPr>
          <w:rFonts w:ascii="Arial" w:hAnsi="Arial" w:cs="Arial"/>
          <w:i/>
        </w:rPr>
      </w:pPr>
    </w:p>
    <w:p w14:paraId="15AF2BBF" w14:textId="77777777" w:rsidR="00C12016" w:rsidRPr="00EA28B2" w:rsidRDefault="00C12016" w:rsidP="00D553EF">
      <w:pPr>
        <w:pStyle w:val="Textoindependiente"/>
        <w:spacing w:before="2" w:line="360" w:lineRule="auto"/>
        <w:ind w:left="567" w:right="384"/>
        <w:jc w:val="both"/>
        <w:rPr>
          <w:rFonts w:ascii="Arial" w:hAnsi="Arial" w:cs="Arial"/>
          <w:i/>
        </w:rPr>
      </w:pPr>
      <w:r w:rsidRPr="00EA28B2">
        <w:rPr>
          <w:rFonts w:ascii="Arial" w:hAnsi="Arial" w:cs="Arial"/>
          <w:i/>
        </w:rPr>
        <w:t>1. Toda persona tiene derecho a la propiedad, individual y colectivamente.</w:t>
      </w:r>
    </w:p>
    <w:p w14:paraId="63D20156" w14:textId="21ACFA6B" w:rsidR="00C12016" w:rsidRPr="00EA28B2" w:rsidRDefault="00C12016" w:rsidP="00D553EF">
      <w:pPr>
        <w:pStyle w:val="Textoindependiente"/>
        <w:spacing w:before="2" w:line="360" w:lineRule="auto"/>
        <w:ind w:left="567" w:right="384"/>
        <w:jc w:val="both"/>
        <w:rPr>
          <w:rFonts w:ascii="Arial" w:hAnsi="Arial" w:cs="Arial"/>
          <w:i/>
        </w:rPr>
      </w:pPr>
      <w:r w:rsidRPr="00EA28B2">
        <w:rPr>
          <w:rFonts w:ascii="Arial" w:hAnsi="Arial" w:cs="Arial"/>
          <w:i/>
        </w:rPr>
        <w:t>2. Nadie será privado arbitrariamente de su propiedad.</w:t>
      </w:r>
      <w:r w:rsidR="00EA28B2" w:rsidRPr="00EA28B2">
        <w:rPr>
          <w:rFonts w:ascii="Arial" w:hAnsi="Arial" w:cs="Arial"/>
          <w:i/>
        </w:rPr>
        <w:t>”</w:t>
      </w:r>
      <w:r w:rsidR="00130336" w:rsidRPr="00EA28B2">
        <w:rPr>
          <w:rStyle w:val="Refdenotaalpie"/>
          <w:rFonts w:ascii="Arial" w:hAnsi="Arial" w:cs="Arial"/>
          <w:i/>
        </w:rPr>
        <w:footnoteReference w:id="6"/>
      </w:r>
    </w:p>
    <w:p w14:paraId="09B9BEA5" w14:textId="77777777" w:rsidR="00130336" w:rsidRDefault="00130336" w:rsidP="00D553EF">
      <w:pPr>
        <w:pStyle w:val="Textoindependiente"/>
        <w:spacing w:before="2" w:line="360" w:lineRule="auto"/>
        <w:jc w:val="both"/>
        <w:rPr>
          <w:rFonts w:ascii="Arial" w:hAnsi="Arial" w:cs="Arial"/>
        </w:rPr>
      </w:pPr>
    </w:p>
    <w:p w14:paraId="0F7FB978" w14:textId="62EDB0BE" w:rsidR="00C12016" w:rsidRDefault="00EA28B2" w:rsidP="00D553EF">
      <w:pPr>
        <w:pStyle w:val="Textoindependiente"/>
        <w:spacing w:before="2" w:line="360" w:lineRule="auto"/>
        <w:jc w:val="both"/>
        <w:rPr>
          <w:rFonts w:ascii="Arial" w:hAnsi="Arial" w:cs="Arial"/>
        </w:rPr>
      </w:pPr>
      <w:r>
        <w:rPr>
          <w:rFonts w:ascii="Arial" w:hAnsi="Arial" w:cs="Arial"/>
        </w:rPr>
        <w:t xml:space="preserve">La </w:t>
      </w:r>
      <w:r w:rsidR="00130336" w:rsidRPr="00130336">
        <w:rPr>
          <w:rFonts w:ascii="Arial" w:hAnsi="Arial" w:cs="Arial"/>
        </w:rPr>
        <w:t>Convención Americana sobre Derechos Humanos</w:t>
      </w:r>
      <w:r>
        <w:rPr>
          <w:rFonts w:ascii="Arial" w:hAnsi="Arial" w:cs="Arial"/>
        </w:rPr>
        <w:t xml:space="preserve"> </w:t>
      </w:r>
      <w:r w:rsidR="00130336" w:rsidRPr="00130336">
        <w:rPr>
          <w:rFonts w:ascii="Arial" w:hAnsi="Arial" w:cs="Arial"/>
        </w:rPr>
        <w:t>(Pacto de San José)</w:t>
      </w:r>
      <w:r w:rsidR="00130336">
        <w:rPr>
          <w:rFonts w:ascii="Arial" w:hAnsi="Arial" w:cs="Arial"/>
        </w:rPr>
        <w:t xml:space="preserve"> publicada en </w:t>
      </w:r>
      <w:r w:rsidR="00130336" w:rsidRPr="00130336">
        <w:rPr>
          <w:rFonts w:ascii="Arial" w:hAnsi="Arial" w:cs="Arial"/>
        </w:rPr>
        <w:t>1981</w:t>
      </w:r>
      <w:r>
        <w:rPr>
          <w:rFonts w:ascii="Arial" w:hAnsi="Arial" w:cs="Arial"/>
        </w:rPr>
        <w:t xml:space="preserve"> en su artículo 21, numerales 1 y 2 estipulan:</w:t>
      </w:r>
    </w:p>
    <w:p w14:paraId="0BF14231" w14:textId="77777777" w:rsidR="00130336" w:rsidRDefault="00130336" w:rsidP="00D553EF">
      <w:pPr>
        <w:pStyle w:val="Textoindependiente"/>
        <w:spacing w:before="2" w:line="360" w:lineRule="auto"/>
        <w:jc w:val="both"/>
        <w:rPr>
          <w:rFonts w:ascii="Arial" w:hAnsi="Arial" w:cs="Arial"/>
        </w:rPr>
      </w:pPr>
    </w:p>
    <w:p w14:paraId="3FD14AF3" w14:textId="08BC6C3A" w:rsidR="00130336" w:rsidRPr="00EA28B2" w:rsidRDefault="00EA28B2" w:rsidP="00D553EF">
      <w:pPr>
        <w:pStyle w:val="Textoindependiente"/>
        <w:spacing w:before="2" w:line="360" w:lineRule="auto"/>
        <w:ind w:left="567" w:right="526"/>
        <w:jc w:val="both"/>
        <w:rPr>
          <w:rFonts w:ascii="Arial" w:hAnsi="Arial" w:cs="Arial"/>
          <w:i/>
        </w:rPr>
      </w:pPr>
      <w:r w:rsidRPr="00EA28B2">
        <w:rPr>
          <w:rFonts w:ascii="Arial" w:hAnsi="Arial" w:cs="Arial"/>
          <w:i/>
        </w:rPr>
        <w:t>“</w:t>
      </w:r>
      <w:r w:rsidR="00130336" w:rsidRPr="00EA28B2">
        <w:rPr>
          <w:rFonts w:ascii="Arial" w:hAnsi="Arial" w:cs="Arial"/>
          <w:i/>
        </w:rPr>
        <w:t>Artículo 21</w:t>
      </w:r>
      <w:r w:rsidRPr="00EA28B2">
        <w:rPr>
          <w:rFonts w:ascii="Arial" w:hAnsi="Arial" w:cs="Arial"/>
          <w:i/>
        </w:rPr>
        <w:t>:</w:t>
      </w:r>
    </w:p>
    <w:p w14:paraId="3F90AC89" w14:textId="77777777" w:rsidR="00EA28B2" w:rsidRPr="00EA28B2" w:rsidRDefault="00EA28B2" w:rsidP="00D553EF">
      <w:pPr>
        <w:pStyle w:val="Textoindependiente"/>
        <w:spacing w:before="2" w:line="360" w:lineRule="auto"/>
        <w:ind w:left="567" w:right="526"/>
        <w:jc w:val="both"/>
        <w:rPr>
          <w:rFonts w:ascii="Arial" w:hAnsi="Arial" w:cs="Arial"/>
          <w:i/>
        </w:rPr>
      </w:pPr>
    </w:p>
    <w:p w14:paraId="5B351E2C" w14:textId="2C37D7D7" w:rsidR="00130336" w:rsidRPr="00EA28B2" w:rsidRDefault="00130336" w:rsidP="00D553EF">
      <w:pPr>
        <w:pStyle w:val="Textoindependiente"/>
        <w:spacing w:before="2" w:line="360" w:lineRule="auto"/>
        <w:ind w:left="567" w:right="526"/>
        <w:jc w:val="both"/>
        <w:rPr>
          <w:rFonts w:ascii="Arial" w:hAnsi="Arial" w:cs="Arial"/>
          <w:i/>
        </w:rPr>
      </w:pPr>
      <w:r w:rsidRPr="00EA28B2">
        <w:rPr>
          <w:rFonts w:ascii="Arial" w:hAnsi="Arial" w:cs="Arial"/>
          <w:i/>
        </w:rPr>
        <w:t>Derecho a la Propiedad Privada</w:t>
      </w:r>
    </w:p>
    <w:p w14:paraId="7560254D" w14:textId="77777777" w:rsidR="00EA28B2" w:rsidRPr="00EA28B2" w:rsidRDefault="00EA28B2" w:rsidP="00D553EF">
      <w:pPr>
        <w:pStyle w:val="Textoindependiente"/>
        <w:spacing w:before="2" w:line="360" w:lineRule="auto"/>
        <w:ind w:left="567" w:right="526"/>
        <w:jc w:val="both"/>
        <w:rPr>
          <w:rFonts w:ascii="Arial" w:hAnsi="Arial" w:cs="Arial"/>
          <w:i/>
        </w:rPr>
      </w:pPr>
    </w:p>
    <w:p w14:paraId="0CEDC806" w14:textId="52065009" w:rsidR="00130336" w:rsidRPr="00EA28B2" w:rsidRDefault="00130336" w:rsidP="00D553EF">
      <w:pPr>
        <w:pStyle w:val="Textoindependiente"/>
        <w:spacing w:before="2" w:line="360" w:lineRule="auto"/>
        <w:ind w:left="567" w:right="526"/>
        <w:jc w:val="both"/>
        <w:rPr>
          <w:rFonts w:ascii="Arial" w:hAnsi="Arial" w:cs="Arial"/>
          <w:i/>
        </w:rPr>
      </w:pPr>
      <w:r w:rsidRPr="00EA28B2">
        <w:rPr>
          <w:rFonts w:ascii="Arial" w:hAnsi="Arial" w:cs="Arial"/>
          <w:i/>
        </w:rPr>
        <w:t>1. Toda persona tiene derecho al uso y goce de sus bienes. La ley</w:t>
      </w:r>
      <w:r w:rsidR="00EA28B2" w:rsidRPr="00EA28B2">
        <w:rPr>
          <w:rFonts w:ascii="Arial" w:hAnsi="Arial" w:cs="Arial"/>
          <w:i/>
        </w:rPr>
        <w:t xml:space="preserve"> </w:t>
      </w:r>
      <w:r w:rsidRPr="00EA28B2">
        <w:rPr>
          <w:rFonts w:ascii="Arial" w:hAnsi="Arial" w:cs="Arial"/>
          <w:i/>
        </w:rPr>
        <w:t>puede subordinar tal uso y goce al interés social.</w:t>
      </w:r>
    </w:p>
    <w:p w14:paraId="024F1C74" w14:textId="008E56DD" w:rsidR="00E91CAD" w:rsidRPr="00B44E46" w:rsidRDefault="00130336" w:rsidP="00B44E46">
      <w:pPr>
        <w:pStyle w:val="Textoindependiente"/>
        <w:spacing w:before="2" w:line="360" w:lineRule="auto"/>
        <w:ind w:left="567" w:right="526"/>
        <w:jc w:val="both"/>
        <w:rPr>
          <w:rFonts w:ascii="Arial" w:hAnsi="Arial" w:cs="Arial"/>
          <w:i/>
        </w:rPr>
      </w:pPr>
      <w:r w:rsidRPr="00EA28B2">
        <w:rPr>
          <w:rFonts w:ascii="Arial" w:hAnsi="Arial" w:cs="Arial"/>
          <w:i/>
        </w:rPr>
        <w:t>2. Ninguna persona puede ser privada de sus bienes, excepto mediante el</w:t>
      </w:r>
      <w:r w:rsidR="00EA28B2" w:rsidRPr="00EA28B2">
        <w:rPr>
          <w:rFonts w:ascii="Arial" w:hAnsi="Arial" w:cs="Arial"/>
          <w:i/>
        </w:rPr>
        <w:t xml:space="preserve"> </w:t>
      </w:r>
      <w:r w:rsidRPr="00EA28B2">
        <w:rPr>
          <w:rFonts w:ascii="Arial" w:hAnsi="Arial" w:cs="Arial"/>
          <w:i/>
        </w:rPr>
        <w:t>pago de indemnización justa, por razones de utilidad pública o de interés</w:t>
      </w:r>
      <w:r w:rsidR="00EA28B2" w:rsidRPr="00EA28B2">
        <w:rPr>
          <w:rFonts w:ascii="Arial" w:hAnsi="Arial" w:cs="Arial"/>
          <w:i/>
        </w:rPr>
        <w:t xml:space="preserve"> </w:t>
      </w:r>
      <w:r w:rsidRPr="00EA28B2">
        <w:rPr>
          <w:rFonts w:ascii="Arial" w:hAnsi="Arial" w:cs="Arial"/>
          <w:i/>
        </w:rPr>
        <w:t>social y en los casos y según las formas establecidas por la ley.</w:t>
      </w:r>
      <w:r w:rsidR="00EA28B2" w:rsidRPr="00EA28B2">
        <w:rPr>
          <w:rFonts w:ascii="Arial" w:hAnsi="Arial" w:cs="Arial"/>
          <w:i/>
        </w:rPr>
        <w:t>”</w:t>
      </w:r>
      <w:r w:rsidRPr="00EA28B2">
        <w:rPr>
          <w:rStyle w:val="Refdenotaalpie"/>
          <w:rFonts w:ascii="Arial" w:hAnsi="Arial" w:cs="Arial"/>
          <w:i/>
        </w:rPr>
        <w:footnoteReference w:id="7"/>
      </w:r>
      <w:r w:rsidRPr="00EA28B2">
        <w:rPr>
          <w:rFonts w:ascii="Arial" w:hAnsi="Arial" w:cs="Arial"/>
          <w:i/>
        </w:rPr>
        <w:t xml:space="preserve"> </w:t>
      </w:r>
      <w:r w:rsidRPr="00EA28B2">
        <w:rPr>
          <w:rFonts w:ascii="Arial" w:hAnsi="Arial" w:cs="Arial"/>
          <w:i/>
        </w:rPr>
        <w:cr/>
      </w:r>
    </w:p>
    <w:p w14:paraId="44EB487B" w14:textId="1B084CA6" w:rsidR="00342CDB" w:rsidRDefault="00EA28B2" w:rsidP="00D553EF">
      <w:pPr>
        <w:pStyle w:val="Textoindependiente"/>
        <w:spacing w:before="2" w:line="360" w:lineRule="auto"/>
        <w:jc w:val="both"/>
        <w:rPr>
          <w:rFonts w:ascii="Arial" w:hAnsi="Arial" w:cs="Arial"/>
        </w:rPr>
      </w:pPr>
      <w:r>
        <w:rPr>
          <w:rFonts w:ascii="Arial" w:hAnsi="Arial" w:cs="Arial"/>
        </w:rPr>
        <w:t>Aunado a los tratados internacionales en el bagaje normativo del Estado de México se advierte que</w:t>
      </w:r>
      <w:r w:rsidR="009B2629">
        <w:rPr>
          <w:rFonts w:ascii="Arial" w:hAnsi="Arial" w:cs="Arial"/>
        </w:rPr>
        <w:t>,</w:t>
      </w:r>
      <w:r>
        <w:rPr>
          <w:rFonts w:ascii="Arial" w:hAnsi="Arial" w:cs="Arial"/>
        </w:rPr>
        <w:t xml:space="preserve"> la Constitución Política de los Estados Unidos Mexicanos en su </w:t>
      </w:r>
      <w:r w:rsidR="00342CDB" w:rsidRPr="00342CDB">
        <w:rPr>
          <w:rFonts w:ascii="Arial" w:hAnsi="Arial" w:cs="Arial"/>
        </w:rPr>
        <w:t>Título Primero</w:t>
      </w:r>
      <w:r w:rsidR="00342CDB">
        <w:rPr>
          <w:rFonts w:ascii="Arial" w:hAnsi="Arial" w:cs="Arial"/>
        </w:rPr>
        <w:t xml:space="preserve">, </w:t>
      </w:r>
      <w:r w:rsidR="00342CDB" w:rsidRPr="00342CDB">
        <w:rPr>
          <w:rFonts w:ascii="Arial" w:hAnsi="Arial" w:cs="Arial"/>
        </w:rPr>
        <w:t>Capítulo I</w:t>
      </w:r>
      <w:r w:rsidR="00342CDB">
        <w:rPr>
          <w:rFonts w:ascii="Arial" w:hAnsi="Arial" w:cs="Arial"/>
        </w:rPr>
        <w:t xml:space="preserve">, </w:t>
      </w:r>
      <w:r w:rsidR="00342CDB" w:rsidRPr="00342CDB">
        <w:rPr>
          <w:rFonts w:ascii="Arial" w:hAnsi="Arial" w:cs="Arial"/>
        </w:rPr>
        <w:t>De los Derechos Humanos y sus Garantías</w:t>
      </w:r>
      <w:r w:rsidR="00342CDB">
        <w:rPr>
          <w:rFonts w:ascii="Arial" w:hAnsi="Arial" w:cs="Arial"/>
        </w:rPr>
        <w:t xml:space="preserve">, </w:t>
      </w:r>
      <w:r>
        <w:rPr>
          <w:rFonts w:ascii="Arial" w:hAnsi="Arial" w:cs="Arial"/>
        </w:rPr>
        <w:t>artículo 27</w:t>
      </w:r>
      <w:r w:rsidR="0091327B" w:rsidRPr="0091327B">
        <w:rPr>
          <w:rFonts w:ascii="Arial" w:hAnsi="Arial" w:cs="Arial"/>
        </w:rPr>
        <w:t>, establece</w:t>
      </w:r>
      <w:r w:rsidR="00342CDB">
        <w:rPr>
          <w:rFonts w:ascii="Arial" w:hAnsi="Arial" w:cs="Arial"/>
        </w:rPr>
        <w:t>:</w:t>
      </w:r>
    </w:p>
    <w:p w14:paraId="28714E81" w14:textId="77777777" w:rsidR="005748EE" w:rsidRDefault="005748EE" w:rsidP="00D553EF">
      <w:pPr>
        <w:pStyle w:val="Textoindependiente"/>
        <w:spacing w:before="2" w:line="360" w:lineRule="auto"/>
        <w:jc w:val="both"/>
        <w:rPr>
          <w:rFonts w:ascii="Arial" w:hAnsi="Arial" w:cs="Arial"/>
        </w:rPr>
      </w:pPr>
    </w:p>
    <w:p w14:paraId="22EC3809" w14:textId="77777777" w:rsidR="00342CDB" w:rsidRDefault="00342CDB" w:rsidP="00D553EF">
      <w:pPr>
        <w:pStyle w:val="Textoindependiente"/>
        <w:spacing w:before="2" w:line="360" w:lineRule="auto"/>
        <w:jc w:val="both"/>
        <w:rPr>
          <w:rFonts w:ascii="Arial" w:hAnsi="Arial" w:cs="Arial"/>
        </w:rPr>
      </w:pPr>
    </w:p>
    <w:p w14:paraId="7C9882BE" w14:textId="4DBECCD3" w:rsidR="00342CDB" w:rsidRPr="00342CDB" w:rsidRDefault="00342CDB" w:rsidP="00D553EF">
      <w:pPr>
        <w:pStyle w:val="Textoindependiente"/>
        <w:spacing w:before="2" w:line="360" w:lineRule="auto"/>
        <w:ind w:left="567" w:right="526"/>
        <w:jc w:val="both"/>
        <w:rPr>
          <w:rFonts w:ascii="Arial" w:hAnsi="Arial" w:cs="Arial"/>
          <w:i/>
        </w:rPr>
      </w:pPr>
      <w:r w:rsidRPr="00342CDB">
        <w:rPr>
          <w:rFonts w:ascii="Arial" w:hAnsi="Arial" w:cs="Arial"/>
          <w:i/>
        </w:rPr>
        <w:t>“Artículo 27. La propiedad de las tierras y aguas comprendidas dentro de los límites del territorio nacional, corresponde originariamente a la Nación, la cual ha tenido y tiene el derecho de transmitir el dominio de ellas a los particulares, constituyendo la propiedad privada.</w:t>
      </w:r>
      <w:r w:rsidRPr="00342CDB">
        <w:rPr>
          <w:rStyle w:val="Refdenotaalpie"/>
          <w:rFonts w:ascii="Arial" w:hAnsi="Arial" w:cs="Arial"/>
          <w:i/>
        </w:rPr>
        <w:t xml:space="preserve"> </w:t>
      </w:r>
      <w:r w:rsidRPr="00342CDB">
        <w:rPr>
          <w:rFonts w:ascii="Arial" w:hAnsi="Arial" w:cs="Arial"/>
          <w:i/>
        </w:rPr>
        <w:t>“</w:t>
      </w:r>
      <w:r w:rsidRPr="00342CDB">
        <w:rPr>
          <w:rStyle w:val="Refdenotaalpie"/>
          <w:rFonts w:ascii="Arial" w:hAnsi="Arial" w:cs="Arial"/>
          <w:i/>
        </w:rPr>
        <w:footnoteReference w:id="8"/>
      </w:r>
    </w:p>
    <w:p w14:paraId="085C2646" w14:textId="77777777" w:rsidR="00342CDB" w:rsidRDefault="00342CDB" w:rsidP="00D553EF">
      <w:pPr>
        <w:pStyle w:val="Textoindependiente"/>
        <w:spacing w:before="2" w:line="360" w:lineRule="auto"/>
        <w:jc w:val="both"/>
        <w:rPr>
          <w:rFonts w:ascii="Arial" w:hAnsi="Arial" w:cs="Arial"/>
        </w:rPr>
      </w:pPr>
    </w:p>
    <w:p w14:paraId="487094D0" w14:textId="2CE8DA40" w:rsidR="00BC13B3" w:rsidRPr="00042155" w:rsidRDefault="00342CDB" w:rsidP="00D553EF">
      <w:pPr>
        <w:pStyle w:val="Textoindependiente"/>
        <w:spacing w:before="2" w:line="360" w:lineRule="auto"/>
        <w:jc w:val="both"/>
        <w:rPr>
          <w:rFonts w:ascii="Arial" w:hAnsi="Arial" w:cs="Arial"/>
        </w:rPr>
      </w:pPr>
      <w:r>
        <w:rPr>
          <w:rFonts w:ascii="Arial" w:hAnsi="Arial" w:cs="Arial"/>
        </w:rPr>
        <w:t xml:space="preserve">De lo cual se deduce que </w:t>
      </w:r>
      <w:r w:rsidR="0091327B" w:rsidRPr="0091327B">
        <w:rPr>
          <w:rFonts w:ascii="Arial" w:hAnsi="Arial" w:cs="Arial"/>
        </w:rPr>
        <w:t>el derecho fundamental a la propiedad privada</w:t>
      </w:r>
      <w:r w:rsidR="0091327B">
        <w:rPr>
          <w:rFonts w:ascii="Arial" w:hAnsi="Arial" w:cs="Arial"/>
        </w:rPr>
        <w:t xml:space="preserve"> </w:t>
      </w:r>
      <w:r>
        <w:rPr>
          <w:rFonts w:ascii="Arial" w:hAnsi="Arial" w:cs="Arial"/>
        </w:rPr>
        <w:t xml:space="preserve">el cual la nación tiene el </w:t>
      </w:r>
      <w:r w:rsidR="0091327B" w:rsidRPr="0091327B">
        <w:rPr>
          <w:rFonts w:ascii="Arial" w:hAnsi="Arial" w:cs="Arial"/>
        </w:rPr>
        <w:t>derecho de transmitir</w:t>
      </w:r>
      <w:r>
        <w:rPr>
          <w:rFonts w:ascii="Arial" w:hAnsi="Arial" w:cs="Arial"/>
        </w:rPr>
        <w:t xml:space="preserve"> </w:t>
      </w:r>
      <w:r w:rsidR="0091327B" w:rsidRPr="0091327B">
        <w:rPr>
          <w:rFonts w:ascii="Arial" w:hAnsi="Arial" w:cs="Arial"/>
        </w:rPr>
        <w:t>el dominio de ellas a los particulares, para constituir la propiedad</w:t>
      </w:r>
      <w:r w:rsidR="0091327B">
        <w:rPr>
          <w:rFonts w:ascii="Arial" w:hAnsi="Arial" w:cs="Arial"/>
        </w:rPr>
        <w:t xml:space="preserve"> </w:t>
      </w:r>
      <w:r w:rsidR="0091327B" w:rsidRPr="0091327B">
        <w:rPr>
          <w:rFonts w:ascii="Arial" w:hAnsi="Arial" w:cs="Arial"/>
        </w:rPr>
        <w:t>privada.</w:t>
      </w:r>
    </w:p>
    <w:p w14:paraId="6B2A357A" w14:textId="77777777" w:rsidR="00BC13B3" w:rsidRPr="00042155" w:rsidRDefault="00BC13B3" w:rsidP="00D553EF">
      <w:pPr>
        <w:pStyle w:val="Textoindependiente"/>
        <w:spacing w:before="2" w:line="360" w:lineRule="auto"/>
        <w:jc w:val="both"/>
        <w:rPr>
          <w:rFonts w:ascii="Arial" w:hAnsi="Arial" w:cs="Arial"/>
        </w:rPr>
      </w:pPr>
    </w:p>
    <w:p w14:paraId="1A5079F8" w14:textId="637542CD" w:rsidR="00342CDB" w:rsidRDefault="00342CDB" w:rsidP="00D553EF">
      <w:pPr>
        <w:pStyle w:val="Textoindependiente"/>
        <w:spacing w:before="2" w:line="360" w:lineRule="auto"/>
        <w:jc w:val="both"/>
        <w:rPr>
          <w:rFonts w:ascii="Arial" w:hAnsi="Arial" w:cs="Arial"/>
        </w:rPr>
      </w:pPr>
      <w:r>
        <w:rPr>
          <w:rFonts w:ascii="Arial" w:hAnsi="Arial" w:cs="Arial"/>
        </w:rPr>
        <w:t>Aunado a lo anterior</w:t>
      </w:r>
      <w:r w:rsidR="00A81613">
        <w:rPr>
          <w:rFonts w:ascii="Arial" w:hAnsi="Arial" w:cs="Arial"/>
        </w:rPr>
        <w:t>,</w:t>
      </w:r>
      <w:r>
        <w:rPr>
          <w:rFonts w:ascii="Arial" w:hAnsi="Arial" w:cs="Arial"/>
        </w:rPr>
        <w:t xml:space="preserve"> en el </w:t>
      </w:r>
      <w:r w:rsidR="006E40BC" w:rsidRPr="00042155">
        <w:rPr>
          <w:rFonts w:ascii="Arial" w:hAnsi="Arial" w:cs="Arial"/>
        </w:rPr>
        <w:t xml:space="preserve">Código Civil del </w:t>
      </w:r>
      <w:r w:rsidR="00391D60" w:rsidRPr="00042155">
        <w:rPr>
          <w:rFonts w:ascii="Arial" w:hAnsi="Arial" w:cs="Arial"/>
        </w:rPr>
        <w:t>E</w:t>
      </w:r>
      <w:r w:rsidR="006E40BC" w:rsidRPr="00042155">
        <w:rPr>
          <w:rFonts w:ascii="Arial" w:hAnsi="Arial" w:cs="Arial"/>
        </w:rPr>
        <w:t>stado de México</w:t>
      </w:r>
      <w:r w:rsidR="00001998" w:rsidRPr="00042155">
        <w:rPr>
          <w:rFonts w:ascii="Arial" w:hAnsi="Arial" w:cs="Arial"/>
        </w:rPr>
        <w:t xml:space="preserve">, </w:t>
      </w:r>
      <w:r>
        <w:rPr>
          <w:rFonts w:ascii="Arial" w:hAnsi="Arial" w:cs="Arial"/>
        </w:rPr>
        <w:t xml:space="preserve">en el Capítulo </w:t>
      </w:r>
      <w:r w:rsidR="00A81613">
        <w:rPr>
          <w:rFonts w:ascii="Arial" w:hAnsi="Arial" w:cs="Arial"/>
        </w:rPr>
        <w:t xml:space="preserve">IV, </w:t>
      </w:r>
      <w:r w:rsidR="00A81613" w:rsidRPr="00342CDB">
        <w:rPr>
          <w:rFonts w:ascii="Arial" w:hAnsi="Arial" w:cs="Arial"/>
        </w:rPr>
        <w:t>De</w:t>
      </w:r>
      <w:r w:rsidRPr="00042155">
        <w:rPr>
          <w:rFonts w:ascii="Arial" w:hAnsi="Arial" w:cs="Arial"/>
        </w:rPr>
        <w:t xml:space="preserve"> los Albaceas e Interventores</w:t>
      </w:r>
      <w:r>
        <w:rPr>
          <w:rFonts w:ascii="Arial" w:hAnsi="Arial" w:cs="Arial"/>
        </w:rPr>
        <w:t>, respecto a la l</w:t>
      </w:r>
      <w:r w:rsidRPr="00042155">
        <w:rPr>
          <w:rFonts w:ascii="Arial" w:hAnsi="Arial" w:cs="Arial"/>
        </w:rPr>
        <w:t>egitimación del albacea para accionar</w:t>
      </w:r>
      <w:r w:rsidR="00227F1A">
        <w:rPr>
          <w:rFonts w:ascii="Arial" w:hAnsi="Arial" w:cs="Arial"/>
        </w:rPr>
        <w:t xml:space="preserve"> y las obligaciones del albacea general, en los artículos 6.226 y 6.227 establecen que:</w:t>
      </w:r>
    </w:p>
    <w:p w14:paraId="3BB34CE8" w14:textId="77777777" w:rsidR="00227F1A" w:rsidRPr="00042155" w:rsidRDefault="00227F1A" w:rsidP="00D553EF">
      <w:pPr>
        <w:pStyle w:val="Textoindependiente"/>
        <w:spacing w:before="2" w:line="360" w:lineRule="auto"/>
        <w:jc w:val="both"/>
        <w:rPr>
          <w:rFonts w:ascii="Arial" w:hAnsi="Arial" w:cs="Arial"/>
        </w:rPr>
      </w:pPr>
    </w:p>
    <w:p w14:paraId="146FD8F3" w14:textId="4B757505" w:rsidR="00227F1A" w:rsidRPr="00A81613" w:rsidRDefault="00227F1A" w:rsidP="00D553EF">
      <w:pPr>
        <w:pStyle w:val="Textoindependiente"/>
        <w:spacing w:before="2" w:line="360" w:lineRule="auto"/>
        <w:ind w:left="567" w:right="526"/>
        <w:jc w:val="both"/>
        <w:rPr>
          <w:rFonts w:ascii="Arial" w:hAnsi="Arial" w:cs="Arial"/>
          <w:i/>
        </w:rPr>
      </w:pPr>
      <w:r>
        <w:rPr>
          <w:rFonts w:ascii="Arial" w:hAnsi="Arial" w:cs="Arial"/>
        </w:rPr>
        <w:t>“</w:t>
      </w:r>
      <w:r w:rsidRPr="00A81613">
        <w:rPr>
          <w:rFonts w:ascii="Arial" w:hAnsi="Arial" w:cs="Arial"/>
          <w:i/>
        </w:rPr>
        <w:t>Artículo 6.226.- El albacea debe deducir todas las acciones inherentes a la sucesión.</w:t>
      </w:r>
    </w:p>
    <w:p w14:paraId="21E2A9B0" w14:textId="77777777" w:rsidR="00227F1A" w:rsidRPr="00A81613" w:rsidRDefault="00227F1A" w:rsidP="00D553EF">
      <w:pPr>
        <w:pStyle w:val="Textoindependiente"/>
        <w:spacing w:before="2" w:line="360" w:lineRule="auto"/>
        <w:ind w:left="567" w:right="526"/>
        <w:jc w:val="both"/>
        <w:rPr>
          <w:rFonts w:ascii="Arial" w:hAnsi="Arial" w:cs="Arial"/>
          <w:i/>
        </w:rPr>
      </w:pPr>
    </w:p>
    <w:p w14:paraId="1BBB891A" w14:textId="77777777" w:rsidR="00227F1A" w:rsidRPr="00A81613" w:rsidRDefault="00227F1A" w:rsidP="00D553EF">
      <w:pPr>
        <w:pStyle w:val="Textoindependiente"/>
        <w:spacing w:before="2" w:line="360" w:lineRule="auto"/>
        <w:ind w:left="567" w:right="526"/>
        <w:jc w:val="both"/>
        <w:rPr>
          <w:rFonts w:ascii="Arial" w:hAnsi="Arial" w:cs="Arial"/>
          <w:i/>
        </w:rPr>
      </w:pPr>
      <w:r w:rsidRPr="00A81613">
        <w:rPr>
          <w:rFonts w:ascii="Arial" w:hAnsi="Arial" w:cs="Arial"/>
          <w:i/>
        </w:rPr>
        <w:t>Artículo 6.227.- Son obligaciones del albacea general:</w:t>
      </w:r>
    </w:p>
    <w:p w14:paraId="0487772D" w14:textId="77777777" w:rsidR="00227F1A" w:rsidRPr="00A81613" w:rsidRDefault="00227F1A" w:rsidP="00D553EF">
      <w:pPr>
        <w:pStyle w:val="Textoindependiente"/>
        <w:spacing w:before="2" w:line="360" w:lineRule="auto"/>
        <w:ind w:left="567" w:right="526"/>
        <w:jc w:val="both"/>
        <w:rPr>
          <w:rFonts w:ascii="Arial" w:hAnsi="Arial" w:cs="Arial"/>
          <w:i/>
        </w:rPr>
      </w:pPr>
    </w:p>
    <w:p w14:paraId="5BF3ACD2" w14:textId="77777777" w:rsidR="00227F1A" w:rsidRPr="00A81613" w:rsidRDefault="00227F1A" w:rsidP="00D553EF">
      <w:pPr>
        <w:pStyle w:val="Textoindependiente"/>
        <w:spacing w:before="2" w:line="360" w:lineRule="auto"/>
        <w:ind w:left="567" w:right="526"/>
        <w:jc w:val="both"/>
        <w:rPr>
          <w:rFonts w:ascii="Arial" w:hAnsi="Arial" w:cs="Arial"/>
          <w:i/>
        </w:rPr>
      </w:pPr>
      <w:r w:rsidRPr="00A81613">
        <w:rPr>
          <w:rFonts w:ascii="Arial" w:hAnsi="Arial" w:cs="Arial"/>
          <w:i/>
        </w:rPr>
        <w:t>I. El aseguramiento de los bienes de la sucesión;</w:t>
      </w:r>
    </w:p>
    <w:p w14:paraId="7F2C058A" w14:textId="77777777" w:rsidR="00227F1A" w:rsidRPr="00A81613" w:rsidRDefault="00227F1A" w:rsidP="00D553EF">
      <w:pPr>
        <w:pStyle w:val="Textoindependiente"/>
        <w:spacing w:before="2" w:line="360" w:lineRule="auto"/>
        <w:ind w:left="567" w:right="526"/>
        <w:jc w:val="both"/>
        <w:rPr>
          <w:rFonts w:ascii="Arial" w:hAnsi="Arial" w:cs="Arial"/>
          <w:i/>
        </w:rPr>
      </w:pPr>
      <w:r w:rsidRPr="00A81613">
        <w:rPr>
          <w:rFonts w:ascii="Arial" w:hAnsi="Arial" w:cs="Arial"/>
          <w:i/>
        </w:rPr>
        <w:t>II. La formación de los inventarios y avalúos;</w:t>
      </w:r>
    </w:p>
    <w:p w14:paraId="08AD4BF7" w14:textId="77777777" w:rsidR="00227F1A" w:rsidRPr="00A81613" w:rsidRDefault="00227F1A" w:rsidP="00D553EF">
      <w:pPr>
        <w:pStyle w:val="Textoindependiente"/>
        <w:spacing w:before="2" w:line="360" w:lineRule="auto"/>
        <w:ind w:left="567" w:right="526"/>
        <w:jc w:val="both"/>
        <w:rPr>
          <w:rFonts w:ascii="Arial" w:hAnsi="Arial" w:cs="Arial"/>
          <w:i/>
        </w:rPr>
      </w:pPr>
      <w:r w:rsidRPr="00A81613">
        <w:rPr>
          <w:rFonts w:ascii="Arial" w:hAnsi="Arial" w:cs="Arial"/>
          <w:i/>
        </w:rPr>
        <w:t>III. La administración de los bienes y la rendición de las cuentas del albaceazgo;</w:t>
      </w:r>
    </w:p>
    <w:p w14:paraId="10A958DB" w14:textId="77777777" w:rsidR="00227F1A" w:rsidRPr="00A81613" w:rsidRDefault="00227F1A" w:rsidP="00D553EF">
      <w:pPr>
        <w:pStyle w:val="Textoindependiente"/>
        <w:spacing w:before="2" w:line="360" w:lineRule="auto"/>
        <w:ind w:left="567" w:right="526"/>
        <w:jc w:val="both"/>
        <w:rPr>
          <w:rFonts w:ascii="Arial" w:hAnsi="Arial" w:cs="Arial"/>
          <w:i/>
        </w:rPr>
      </w:pPr>
      <w:r w:rsidRPr="00A81613">
        <w:rPr>
          <w:rFonts w:ascii="Arial" w:hAnsi="Arial" w:cs="Arial"/>
          <w:i/>
        </w:rPr>
        <w:t>IV. El pago de las deudas mortuorias, hereditarias y testamentarias;</w:t>
      </w:r>
    </w:p>
    <w:p w14:paraId="7E7A5CFE" w14:textId="77777777" w:rsidR="00227F1A" w:rsidRPr="00A81613" w:rsidRDefault="00227F1A" w:rsidP="00D553EF">
      <w:pPr>
        <w:pStyle w:val="Textoindependiente"/>
        <w:spacing w:before="2" w:line="360" w:lineRule="auto"/>
        <w:ind w:left="567" w:right="526"/>
        <w:jc w:val="both"/>
        <w:rPr>
          <w:rFonts w:ascii="Arial" w:hAnsi="Arial" w:cs="Arial"/>
          <w:i/>
        </w:rPr>
      </w:pPr>
      <w:r w:rsidRPr="00A81613">
        <w:rPr>
          <w:rFonts w:ascii="Arial" w:hAnsi="Arial" w:cs="Arial"/>
          <w:i/>
        </w:rPr>
        <w:t>V. La partición y adjudicación de los bienes;</w:t>
      </w:r>
    </w:p>
    <w:p w14:paraId="5635C6A8" w14:textId="77777777" w:rsidR="00227F1A" w:rsidRPr="00A81613" w:rsidRDefault="00227F1A" w:rsidP="00D553EF">
      <w:pPr>
        <w:pStyle w:val="Textoindependiente"/>
        <w:spacing w:before="2" w:line="360" w:lineRule="auto"/>
        <w:ind w:left="567" w:right="526"/>
        <w:jc w:val="both"/>
        <w:rPr>
          <w:rFonts w:ascii="Arial" w:hAnsi="Arial" w:cs="Arial"/>
          <w:i/>
        </w:rPr>
      </w:pPr>
      <w:r w:rsidRPr="00A81613">
        <w:rPr>
          <w:rFonts w:ascii="Arial" w:hAnsi="Arial" w:cs="Arial"/>
          <w:i/>
        </w:rPr>
        <w:t>VI. La defensa, en juicio y fuera de él, de los bienes de la sucesión y de la validez del testamento;</w:t>
      </w:r>
    </w:p>
    <w:p w14:paraId="3BAA70C7" w14:textId="77777777" w:rsidR="00227F1A" w:rsidRPr="00A81613" w:rsidRDefault="00227F1A" w:rsidP="00D553EF">
      <w:pPr>
        <w:pStyle w:val="Textoindependiente"/>
        <w:spacing w:before="2" w:line="360" w:lineRule="auto"/>
        <w:ind w:left="567" w:right="526"/>
        <w:jc w:val="both"/>
        <w:rPr>
          <w:rFonts w:ascii="Arial" w:hAnsi="Arial" w:cs="Arial"/>
          <w:i/>
        </w:rPr>
      </w:pPr>
      <w:r w:rsidRPr="00A81613">
        <w:rPr>
          <w:rFonts w:ascii="Arial" w:hAnsi="Arial" w:cs="Arial"/>
          <w:i/>
        </w:rPr>
        <w:t>VII. La de representar a la sucesión en los juicios;</w:t>
      </w:r>
    </w:p>
    <w:p w14:paraId="0B51C4E6" w14:textId="5B267A63" w:rsidR="00227F1A" w:rsidRPr="00A81613" w:rsidRDefault="00227F1A" w:rsidP="00D553EF">
      <w:pPr>
        <w:pStyle w:val="Textoindependiente"/>
        <w:spacing w:before="2" w:line="360" w:lineRule="auto"/>
        <w:ind w:left="567" w:right="526"/>
        <w:jc w:val="both"/>
        <w:rPr>
          <w:rFonts w:ascii="Arial" w:hAnsi="Arial" w:cs="Arial"/>
          <w:i/>
        </w:rPr>
      </w:pPr>
      <w:r w:rsidRPr="00A81613">
        <w:rPr>
          <w:rFonts w:ascii="Arial" w:hAnsi="Arial" w:cs="Arial"/>
          <w:i/>
        </w:rPr>
        <w:t>VIII. Las demás que le imponga la ley”</w:t>
      </w:r>
      <w:r w:rsidRPr="00A81613">
        <w:rPr>
          <w:rStyle w:val="Refdenotaalpie"/>
          <w:rFonts w:ascii="Arial" w:hAnsi="Arial" w:cs="Arial"/>
          <w:i/>
        </w:rPr>
        <w:footnoteReference w:id="9"/>
      </w:r>
      <w:r w:rsidRPr="00A81613">
        <w:rPr>
          <w:rFonts w:ascii="Arial" w:hAnsi="Arial" w:cs="Arial"/>
          <w:i/>
        </w:rPr>
        <w:t>.</w:t>
      </w:r>
    </w:p>
    <w:p w14:paraId="510EAB85" w14:textId="24DF262C" w:rsidR="00342CDB" w:rsidRDefault="00342CDB" w:rsidP="00D553EF">
      <w:pPr>
        <w:pStyle w:val="Textoindependiente"/>
        <w:spacing w:before="2" w:line="360" w:lineRule="auto"/>
        <w:ind w:left="567" w:right="526"/>
        <w:jc w:val="both"/>
        <w:rPr>
          <w:rFonts w:ascii="Arial" w:hAnsi="Arial" w:cs="Arial"/>
        </w:rPr>
      </w:pPr>
    </w:p>
    <w:p w14:paraId="74E60C8D" w14:textId="34C2AE46" w:rsidR="00001998" w:rsidRPr="00042155" w:rsidRDefault="00A81613" w:rsidP="00D553EF">
      <w:pPr>
        <w:pStyle w:val="Textoindependiente"/>
        <w:spacing w:before="2" w:line="360" w:lineRule="auto"/>
        <w:jc w:val="both"/>
        <w:rPr>
          <w:rFonts w:ascii="Arial" w:hAnsi="Arial" w:cs="Arial"/>
        </w:rPr>
      </w:pPr>
      <w:r>
        <w:rPr>
          <w:rFonts w:ascii="Arial" w:hAnsi="Arial" w:cs="Arial"/>
        </w:rPr>
        <w:t xml:space="preserve">En lo que respecta específicamente al mecanismo legal establecido en el </w:t>
      </w:r>
      <w:r w:rsidRPr="00042155">
        <w:rPr>
          <w:rFonts w:ascii="Arial" w:hAnsi="Arial" w:cs="Arial"/>
        </w:rPr>
        <w:t>Código Civil del Estado de México</w:t>
      </w:r>
      <w:r>
        <w:rPr>
          <w:rFonts w:ascii="Arial" w:hAnsi="Arial" w:cs="Arial"/>
        </w:rPr>
        <w:t xml:space="preserve">, </w:t>
      </w:r>
      <w:r w:rsidR="00001998" w:rsidRPr="00042155">
        <w:rPr>
          <w:rFonts w:ascii="Arial" w:hAnsi="Arial" w:cs="Arial"/>
        </w:rPr>
        <w:t xml:space="preserve">en </w:t>
      </w:r>
      <w:r w:rsidR="00342CDB">
        <w:rPr>
          <w:rFonts w:ascii="Arial" w:hAnsi="Arial" w:cs="Arial"/>
        </w:rPr>
        <w:t>el</w:t>
      </w:r>
      <w:r w:rsidR="00001998" w:rsidRPr="00042155">
        <w:rPr>
          <w:rFonts w:ascii="Arial" w:hAnsi="Arial" w:cs="Arial"/>
        </w:rPr>
        <w:t xml:space="preserve"> </w:t>
      </w:r>
      <w:r w:rsidR="00507A32" w:rsidRPr="00042155">
        <w:rPr>
          <w:rFonts w:ascii="Arial" w:hAnsi="Arial" w:cs="Arial"/>
        </w:rPr>
        <w:t>Libro Sexto, De las Sucesiones, Título Primero, Disposiciones Preliminares</w:t>
      </w:r>
      <w:r w:rsidR="00001998" w:rsidRPr="00042155">
        <w:rPr>
          <w:rFonts w:ascii="Arial" w:hAnsi="Arial" w:cs="Arial"/>
        </w:rPr>
        <w:t xml:space="preserve">, </w:t>
      </w:r>
      <w:r>
        <w:rPr>
          <w:rFonts w:ascii="Arial" w:hAnsi="Arial" w:cs="Arial"/>
        </w:rPr>
        <w:t xml:space="preserve">en los </w:t>
      </w:r>
      <w:r w:rsidR="00001998" w:rsidRPr="00042155">
        <w:rPr>
          <w:rFonts w:ascii="Arial" w:hAnsi="Arial" w:cs="Arial"/>
        </w:rPr>
        <w:t>artículo</w:t>
      </w:r>
      <w:r>
        <w:rPr>
          <w:rFonts w:ascii="Arial" w:hAnsi="Arial" w:cs="Arial"/>
        </w:rPr>
        <w:t>s</w:t>
      </w:r>
      <w:r w:rsidR="00001998" w:rsidRPr="00042155">
        <w:rPr>
          <w:rFonts w:ascii="Arial" w:hAnsi="Arial" w:cs="Arial"/>
        </w:rPr>
        <w:t xml:space="preserve"> </w:t>
      </w:r>
      <w:r w:rsidR="00507A32" w:rsidRPr="00042155">
        <w:rPr>
          <w:rFonts w:ascii="Arial" w:hAnsi="Arial" w:cs="Arial"/>
        </w:rPr>
        <w:t>6.8</w:t>
      </w:r>
      <w:r>
        <w:rPr>
          <w:rFonts w:ascii="Arial" w:hAnsi="Arial" w:cs="Arial"/>
        </w:rPr>
        <w:t xml:space="preserve"> y 6.9</w:t>
      </w:r>
      <w:r w:rsidR="00001998" w:rsidRPr="00042155">
        <w:rPr>
          <w:rFonts w:ascii="Arial" w:hAnsi="Arial" w:cs="Arial"/>
        </w:rPr>
        <w:t>, en lo relativo a</w:t>
      </w:r>
      <w:r w:rsidR="00507A32" w:rsidRPr="00042155">
        <w:rPr>
          <w:rFonts w:ascii="Arial" w:hAnsi="Arial" w:cs="Arial"/>
        </w:rPr>
        <w:t xml:space="preserve"> los derechos de herederos a la muerte del de</w:t>
      </w:r>
      <w:r w:rsidR="0069092E">
        <w:rPr>
          <w:rFonts w:ascii="Arial" w:hAnsi="Arial" w:cs="Arial"/>
        </w:rPr>
        <w:t xml:space="preserve"> </w:t>
      </w:r>
      <w:proofErr w:type="spellStart"/>
      <w:r w:rsidR="00507A32" w:rsidRPr="00042155">
        <w:rPr>
          <w:rFonts w:ascii="Arial" w:hAnsi="Arial" w:cs="Arial"/>
        </w:rPr>
        <w:t>cujus</w:t>
      </w:r>
      <w:proofErr w:type="spellEnd"/>
      <w:r>
        <w:rPr>
          <w:rFonts w:ascii="Arial" w:hAnsi="Arial" w:cs="Arial"/>
        </w:rPr>
        <w:t>,</w:t>
      </w:r>
      <w:r w:rsidR="00001998" w:rsidRPr="00042155">
        <w:rPr>
          <w:rFonts w:ascii="Arial" w:hAnsi="Arial" w:cs="Arial"/>
        </w:rPr>
        <w:t xml:space="preserve"> </w:t>
      </w:r>
      <w:r w:rsidR="004E7566">
        <w:rPr>
          <w:rFonts w:ascii="Arial" w:hAnsi="Arial" w:cs="Arial"/>
        </w:rPr>
        <w:t xml:space="preserve">y el derecho del heredero a la masa hereditaria respectivamente, </w:t>
      </w:r>
      <w:r>
        <w:rPr>
          <w:rFonts w:ascii="Arial" w:hAnsi="Arial" w:cs="Arial"/>
        </w:rPr>
        <w:t>que a la letra dice</w:t>
      </w:r>
      <w:r w:rsidR="004E7566">
        <w:rPr>
          <w:rFonts w:ascii="Arial" w:hAnsi="Arial" w:cs="Arial"/>
        </w:rPr>
        <w:t>n</w:t>
      </w:r>
      <w:r>
        <w:rPr>
          <w:rFonts w:ascii="Arial" w:hAnsi="Arial" w:cs="Arial"/>
        </w:rPr>
        <w:t>:</w:t>
      </w:r>
    </w:p>
    <w:p w14:paraId="387C860B" w14:textId="63125A0F" w:rsidR="00001998" w:rsidRPr="00042155" w:rsidRDefault="00001998" w:rsidP="00D553EF">
      <w:pPr>
        <w:pStyle w:val="Textoindependiente"/>
        <w:spacing w:before="2" w:line="360" w:lineRule="auto"/>
        <w:jc w:val="both"/>
        <w:rPr>
          <w:rFonts w:ascii="Arial" w:hAnsi="Arial" w:cs="Arial"/>
        </w:rPr>
      </w:pPr>
    </w:p>
    <w:p w14:paraId="3F562595" w14:textId="49324FAE" w:rsidR="00507A32" w:rsidRPr="00A81613" w:rsidRDefault="00507A32" w:rsidP="00D553EF">
      <w:pPr>
        <w:pStyle w:val="Textoindependiente"/>
        <w:spacing w:before="2" w:line="360" w:lineRule="auto"/>
        <w:ind w:left="567" w:right="526"/>
        <w:jc w:val="both"/>
        <w:rPr>
          <w:rFonts w:ascii="Arial" w:hAnsi="Arial" w:cs="Arial"/>
          <w:i/>
        </w:rPr>
      </w:pPr>
      <w:r w:rsidRPr="00A81613">
        <w:rPr>
          <w:rFonts w:ascii="Arial" w:hAnsi="Arial" w:cs="Arial"/>
          <w:i/>
        </w:rPr>
        <w:t>“Artículo 6.8.- A la muerte del autor de la sucesión, los herederos adquieren derecho a la masa hereditaria como a un patrimonio común, mientras no se haga la división</w:t>
      </w:r>
      <w:r w:rsidR="004E7566">
        <w:rPr>
          <w:rFonts w:ascii="Arial" w:hAnsi="Arial" w:cs="Arial"/>
          <w:i/>
        </w:rPr>
        <w:t>.</w:t>
      </w:r>
    </w:p>
    <w:p w14:paraId="1D39D1AD" w14:textId="39D1E2AD" w:rsidR="00507A32" w:rsidRPr="00A81613" w:rsidRDefault="00507A32" w:rsidP="00D553EF">
      <w:pPr>
        <w:pStyle w:val="Textoindependiente"/>
        <w:spacing w:before="2" w:line="360" w:lineRule="auto"/>
        <w:ind w:right="526"/>
        <w:jc w:val="both"/>
        <w:rPr>
          <w:rFonts w:ascii="Arial" w:hAnsi="Arial" w:cs="Arial"/>
          <w:i/>
        </w:rPr>
      </w:pPr>
    </w:p>
    <w:p w14:paraId="43F1C7F6" w14:textId="1F2E3F00" w:rsidR="00C25DFF" w:rsidRDefault="00C25DFF" w:rsidP="00D553EF">
      <w:pPr>
        <w:pStyle w:val="Textoindependiente"/>
        <w:spacing w:before="2" w:line="360" w:lineRule="auto"/>
        <w:ind w:left="567" w:right="526"/>
        <w:jc w:val="both"/>
        <w:rPr>
          <w:rFonts w:ascii="Arial" w:hAnsi="Arial" w:cs="Arial"/>
        </w:rPr>
      </w:pPr>
      <w:r w:rsidRPr="00042155">
        <w:rPr>
          <w:rFonts w:ascii="Arial" w:hAnsi="Arial" w:cs="Arial"/>
        </w:rPr>
        <w:t>Artículo 6.9.- Cada heredero puede disponer del derecho que tiene a la masa hereditaria, pero no puede disponer de los bienes que forman la sucesión.</w:t>
      </w:r>
      <w:r w:rsidR="004E7566">
        <w:rPr>
          <w:rFonts w:ascii="Arial" w:hAnsi="Arial" w:cs="Arial"/>
        </w:rPr>
        <w:t>”</w:t>
      </w:r>
      <w:r w:rsidR="004E7566">
        <w:rPr>
          <w:rStyle w:val="Refdenotaalpie"/>
          <w:rFonts w:ascii="Arial" w:hAnsi="Arial" w:cs="Arial"/>
        </w:rPr>
        <w:footnoteReference w:id="10"/>
      </w:r>
    </w:p>
    <w:p w14:paraId="21C5C292" w14:textId="77777777" w:rsidR="004E7566" w:rsidRPr="00042155" w:rsidRDefault="004E7566" w:rsidP="00D553EF">
      <w:pPr>
        <w:pStyle w:val="Textoindependiente"/>
        <w:spacing w:before="2" w:line="360" w:lineRule="auto"/>
        <w:ind w:left="567" w:right="526"/>
        <w:jc w:val="both"/>
        <w:rPr>
          <w:rFonts w:ascii="Arial" w:hAnsi="Arial" w:cs="Arial"/>
        </w:rPr>
      </w:pPr>
    </w:p>
    <w:p w14:paraId="5677A5E5" w14:textId="2604492B" w:rsidR="004E7566" w:rsidRDefault="004E7566" w:rsidP="00D553EF">
      <w:pPr>
        <w:pStyle w:val="Textoindependiente"/>
        <w:spacing w:before="2" w:line="360" w:lineRule="auto"/>
        <w:ind w:right="-41"/>
        <w:jc w:val="both"/>
        <w:rPr>
          <w:rFonts w:ascii="Arial" w:hAnsi="Arial" w:cs="Arial"/>
        </w:rPr>
      </w:pPr>
      <w:r>
        <w:rPr>
          <w:rFonts w:ascii="Arial" w:hAnsi="Arial" w:cs="Arial"/>
        </w:rPr>
        <w:t xml:space="preserve">Del contexto normativo referido se deduce que el derecho a la propiedad es un derecho humano consagrado en la Constitución Política de los Estados Unidos Mexicanos, que las entidades federativas están obligadas a respetar y garantizar, y en el </w:t>
      </w:r>
      <w:r w:rsidR="00E3560A">
        <w:rPr>
          <w:rFonts w:ascii="Arial" w:hAnsi="Arial" w:cs="Arial"/>
        </w:rPr>
        <w:t>E</w:t>
      </w:r>
      <w:r>
        <w:rPr>
          <w:rFonts w:ascii="Arial" w:hAnsi="Arial" w:cs="Arial"/>
        </w:rPr>
        <w:t>stado de México, el mecanismo jurídico establece que una de las formas de adquirir la propiedad es por la sucesión que se deriva de la herencia al momento de que el autor del patrimonio fallece.</w:t>
      </w:r>
    </w:p>
    <w:p w14:paraId="0D77C2AD" w14:textId="77777777" w:rsidR="007B6172" w:rsidRDefault="007B6172" w:rsidP="00D553EF">
      <w:pPr>
        <w:pStyle w:val="Textoindependiente"/>
        <w:spacing w:before="2" w:line="360" w:lineRule="auto"/>
        <w:ind w:right="-41"/>
        <w:jc w:val="both"/>
        <w:rPr>
          <w:rFonts w:ascii="Arial" w:hAnsi="Arial" w:cs="Arial"/>
        </w:rPr>
      </w:pPr>
    </w:p>
    <w:p w14:paraId="22598C71" w14:textId="1DDD684F" w:rsidR="004E7566" w:rsidRDefault="004E7566" w:rsidP="00D553EF">
      <w:pPr>
        <w:pStyle w:val="Textoindependiente"/>
        <w:spacing w:before="2" w:line="360" w:lineRule="auto"/>
        <w:ind w:right="-41"/>
        <w:jc w:val="both"/>
        <w:rPr>
          <w:rFonts w:ascii="Arial" w:hAnsi="Arial" w:cs="Arial"/>
        </w:rPr>
      </w:pPr>
      <w:r>
        <w:rPr>
          <w:rFonts w:ascii="Arial" w:hAnsi="Arial" w:cs="Arial"/>
        </w:rPr>
        <w:t xml:space="preserve">Sin </w:t>
      </w:r>
      <w:r w:rsidR="0087533E">
        <w:rPr>
          <w:rFonts w:ascii="Arial" w:hAnsi="Arial" w:cs="Arial"/>
        </w:rPr>
        <w:t>embargo,</w:t>
      </w:r>
      <w:r>
        <w:rPr>
          <w:rFonts w:ascii="Arial" w:hAnsi="Arial" w:cs="Arial"/>
        </w:rPr>
        <w:t xml:space="preserve"> no es óbice de lo anterior que, el artículo 6.8 del </w:t>
      </w:r>
      <w:r w:rsidRPr="00042155">
        <w:rPr>
          <w:rFonts w:ascii="Arial" w:hAnsi="Arial" w:cs="Arial"/>
        </w:rPr>
        <w:t>Código Civil del Estado de México</w:t>
      </w:r>
      <w:r>
        <w:rPr>
          <w:rFonts w:ascii="Arial" w:hAnsi="Arial" w:cs="Arial"/>
        </w:rPr>
        <w:t>, los herederos adquieren derecho a la masa hereditaria como patrimonio común</w:t>
      </w:r>
      <w:r w:rsidR="0087533E">
        <w:rPr>
          <w:rFonts w:ascii="Arial" w:hAnsi="Arial" w:cs="Arial"/>
        </w:rPr>
        <w:t>, hasta el momento procesal en que se haga la división y partición de la herencia.</w:t>
      </w:r>
    </w:p>
    <w:p w14:paraId="64A446D1" w14:textId="77777777" w:rsidR="004E7566" w:rsidRDefault="004E7566" w:rsidP="00D553EF">
      <w:pPr>
        <w:pStyle w:val="Textoindependiente"/>
        <w:spacing w:before="2" w:line="360" w:lineRule="auto"/>
        <w:ind w:right="-41"/>
        <w:jc w:val="both"/>
        <w:rPr>
          <w:rFonts w:ascii="Arial" w:hAnsi="Arial" w:cs="Arial"/>
        </w:rPr>
      </w:pPr>
    </w:p>
    <w:p w14:paraId="64256A26" w14:textId="03A81E13" w:rsidR="009A24CC" w:rsidRPr="0087533E" w:rsidRDefault="009A24CC" w:rsidP="00D553EF">
      <w:pPr>
        <w:pStyle w:val="Textoindependiente"/>
        <w:spacing w:before="2" w:line="360" w:lineRule="auto"/>
        <w:ind w:right="-41"/>
        <w:jc w:val="both"/>
        <w:rPr>
          <w:rFonts w:ascii="Arial" w:hAnsi="Arial" w:cs="Arial"/>
          <w:i/>
        </w:rPr>
      </w:pPr>
      <w:r w:rsidRPr="00042155">
        <w:rPr>
          <w:rFonts w:ascii="Arial" w:hAnsi="Arial" w:cs="Arial"/>
        </w:rPr>
        <w:t xml:space="preserve">En el mismo ordenamiento jurídico </w:t>
      </w:r>
      <w:r w:rsidR="0087533E">
        <w:rPr>
          <w:rFonts w:ascii="Arial" w:hAnsi="Arial" w:cs="Arial"/>
        </w:rPr>
        <w:t xml:space="preserve">en lo referente a los </w:t>
      </w:r>
      <w:r w:rsidR="00B8796B">
        <w:rPr>
          <w:rFonts w:ascii="Arial" w:hAnsi="Arial" w:cs="Arial"/>
        </w:rPr>
        <w:t>d</w:t>
      </w:r>
      <w:r w:rsidR="0087533E">
        <w:rPr>
          <w:rFonts w:ascii="Arial" w:hAnsi="Arial" w:cs="Arial"/>
        </w:rPr>
        <w:t>a</w:t>
      </w:r>
      <w:r w:rsidR="00B8796B">
        <w:rPr>
          <w:rFonts w:ascii="Arial" w:hAnsi="Arial" w:cs="Arial"/>
        </w:rPr>
        <w:t>ñ</w:t>
      </w:r>
      <w:r w:rsidRPr="00042155">
        <w:rPr>
          <w:rFonts w:ascii="Arial" w:hAnsi="Arial" w:cs="Arial"/>
        </w:rPr>
        <w:t>os y perjuicios</w:t>
      </w:r>
      <w:r w:rsidR="0087533E">
        <w:rPr>
          <w:rFonts w:ascii="Arial" w:hAnsi="Arial" w:cs="Arial"/>
        </w:rPr>
        <w:t xml:space="preserve"> en el a</w:t>
      </w:r>
      <w:r w:rsidRPr="00042155">
        <w:rPr>
          <w:rFonts w:ascii="Arial" w:hAnsi="Arial" w:cs="Arial"/>
        </w:rPr>
        <w:t>rtículo 7.346</w:t>
      </w:r>
      <w:r w:rsidR="0087533E">
        <w:rPr>
          <w:rFonts w:ascii="Arial" w:hAnsi="Arial" w:cs="Arial"/>
        </w:rPr>
        <w:t xml:space="preserve">, dice que, </w:t>
      </w:r>
      <w:r w:rsidR="0087533E" w:rsidRPr="0087533E">
        <w:rPr>
          <w:rFonts w:ascii="Arial" w:hAnsi="Arial" w:cs="Arial"/>
          <w:i/>
        </w:rPr>
        <w:t>“</w:t>
      </w:r>
      <w:r w:rsidRPr="0087533E">
        <w:rPr>
          <w:rFonts w:ascii="Arial" w:hAnsi="Arial" w:cs="Arial"/>
          <w:i/>
        </w:rPr>
        <w:t xml:space="preserve"> El incumplimiento de una obligación de dar, hacer o no hacer, trae como consecuencia, además de importar la devolución de un bien o su precio, o la de entre ambos, en su caso, comprenderá la reparación de los daños y la indemnización de los perjuicios</w:t>
      </w:r>
      <w:r w:rsidR="0087533E">
        <w:rPr>
          <w:rFonts w:ascii="Arial" w:hAnsi="Arial" w:cs="Arial"/>
        </w:rPr>
        <w:t>“, especificando el concepto de daño en el artículo</w:t>
      </w:r>
      <w:r w:rsidRPr="00042155">
        <w:rPr>
          <w:rFonts w:ascii="Arial" w:hAnsi="Arial" w:cs="Arial"/>
        </w:rPr>
        <w:t xml:space="preserve"> 7.347</w:t>
      </w:r>
      <w:r w:rsidR="0087533E">
        <w:rPr>
          <w:rFonts w:ascii="Arial" w:hAnsi="Arial" w:cs="Arial"/>
        </w:rPr>
        <w:t>, que estipula, “</w:t>
      </w:r>
      <w:r w:rsidRPr="0087533E">
        <w:rPr>
          <w:rFonts w:ascii="Arial" w:hAnsi="Arial" w:cs="Arial"/>
          <w:i/>
        </w:rPr>
        <w:t>Se entiende por daño la pérdida o menoscabo sufrido en el patrimonio por falta de cumplimiento de una obligación</w:t>
      </w:r>
      <w:r w:rsidR="0087533E" w:rsidRPr="0087533E">
        <w:rPr>
          <w:rFonts w:ascii="Arial" w:hAnsi="Arial" w:cs="Arial"/>
          <w:i/>
        </w:rPr>
        <w:t>”</w:t>
      </w:r>
      <w:r w:rsidRPr="0087533E">
        <w:rPr>
          <w:rFonts w:ascii="Arial" w:hAnsi="Arial" w:cs="Arial"/>
          <w:i/>
        </w:rPr>
        <w:t>.</w:t>
      </w:r>
      <w:r w:rsidR="0087533E">
        <w:rPr>
          <w:rFonts w:ascii="Arial" w:hAnsi="Arial" w:cs="Arial"/>
          <w:i/>
        </w:rPr>
        <w:t xml:space="preserve"> </w:t>
      </w:r>
      <w:r w:rsidR="0087533E" w:rsidRPr="0087533E">
        <w:rPr>
          <w:rFonts w:ascii="Arial" w:hAnsi="Arial" w:cs="Arial"/>
        </w:rPr>
        <w:t>Por lo q</w:t>
      </w:r>
      <w:r w:rsidR="0087533E">
        <w:rPr>
          <w:rFonts w:ascii="Arial" w:hAnsi="Arial" w:cs="Arial"/>
        </w:rPr>
        <w:t>ue al no establecerse el mecanismo claro y preciso en donde se especifique la forma como los herederos tendrán la propiedad existen mecanismos legales que permiten promover el cumplimiento de la ley.</w:t>
      </w:r>
    </w:p>
    <w:p w14:paraId="0A660DF2" w14:textId="77777777" w:rsidR="009A24CC" w:rsidRPr="00042155" w:rsidRDefault="009A24CC" w:rsidP="00D553EF">
      <w:pPr>
        <w:pStyle w:val="Textoindependiente"/>
        <w:spacing w:before="2" w:line="360" w:lineRule="auto"/>
        <w:ind w:right="-41"/>
        <w:jc w:val="both"/>
        <w:rPr>
          <w:rFonts w:ascii="Arial" w:hAnsi="Arial" w:cs="Arial"/>
        </w:rPr>
      </w:pPr>
    </w:p>
    <w:p w14:paraId="13FE3A74" w14:textId="0A270C7F" w:rsidR="0087533E" w:rsidRDefault="0087533E" w:rsidP="00D553EF">
      <w:pPr>
        <w:pStyle w:val="Textoindependiente"/>
        <w:spacing w:before="2" w:line="360" w:lineRule="auto"/>
        <w:jc w:val="both"/>
        <w:rPr>
          <w:rFonts w:ascii="Arial" w:hAnsi="Arial" w:cs="Arial"/>
        </w:rPr>
      </w:pPr>
      <w:r>
        <w:rPr>
          <w:rFonts w:ascii="Arial" w:hAnsi="Arial" w:cs="Arial"/>
        </w:rPr>
        <w:t xml:space="preserve">En el </w:t>
      </w:r>
      <w:r w:rsidR="00C35A7B" w:rsidRPr="00042155">
        <w:rPr>
          <w:rFonts w:ascii="Arial" w:hAnsi="Arial" w:cs="Arial"/>
        </w:rPr>
        <w:t xml:space="preserve">Código de Procedimiento Civiles del Estado de </w:t>
      </w:r>
      <w:r w:rsidRPr="00042155">
        <w:rPr>
          <w:rFonts w:ascii="Arial" w:hAnsi="Arial" w:cs="Arial"/>
        </w:rPr>
        <w:t xml:space="preserve">México, </w:t>
      </w:r>
      <w:r>
        <w:rPr>
          <w:rFonts w:ascii="Arial" w:hAnsi="Arial" w:cs="Arial"/>
        </w:rPr>
        <w:t xml:space="preserve">Capitulo </w:t>
      </w:r>
      <w:r w:rsidR="00B6549F" w:rsidRPr="00042155">
        <w:rPr>
          <w:rFonts w:ascii="Arial" w:hAnsi="Arial" w:cs="Arial"/>
        </w:rPr>
        <w:t>III</w:t>
      </w:r>
      <w:r>
        <w:rPr>
          <w:rFonts w:ascii="Arial" w:hAnsi="Arial" w:cs="Arial"/>
        </w:rPr>
        <w:t xml:space="preserve">, </w:t>
      </w:r>
      <w:r w:rsidR="00B6549F" w:rsidRPr="00042155">
        <w:rPr>
          <w:rFonts w:ascii="Arial" w:hAnsi="Arial" w:cs="Arial"/>
        </w:rPr>
        <w:t>De los Jueces de Primera Instancia</w:t>
      </w:r>
      <w:r>
        <w:rPr>
          <w:rFonts w:ascii="Arial" w:hAnsi="Arial" w:cs="Arial"/>
        </w:rPr>
        <w:t>, respecto a la L</w:t>
      </w:r>
      <w:r w:rsidR="00251362" w:rsidRPr="00042155">
        <w:rPr>
          <w:rFonts w:ascii="Arial" w:hAnsi="Arial" w:cs="Arial"/>
        </w:rPr>
        <w:t>egitimación activa en petición de herencia</w:t>
      </w:r>
      <w:r>
        <w:rPr>
          <w:rFonts w:ascii="Arial" w:hAnsi="Arial" w:cs="Arial"/>
        </w:rPr>
        <w:t xml:space="preserve">, </w:t>
      </w:r>
      <w:r w:rsidR="0069092E">
        <w:rPr>
          <w:rFonts w:ascii="Arial" w:hAnsi="Arial" w:cs="Arial"/>
        </w:rPr>
        <w:t xml:space="preserve">Legitimación pasiva en petición de herencia y finalidad de la petición de herencia </w:t>
      </w:r>
      <w:r>
        <w:rPr>
          <w:rFonts w:ascii="Arial" w:hAnsi="Arial" w:cs="Arial"/>
        </w:rPr>
        <w:t xml:space="preserve">en los artículos 2.9, 2.10, 2.11, </w:t>
      </w:r>
      <w:r w:rsidR="0069092E">
        <w:rPr>
          <w:rFonts w:ascii="Arial" w:hAnsi="Arial" w:cs="Arial"/>
        </w:rPr>
        <w:t xml:space="preserve">respectivamente </w:t>
      </w:r>
      <w:r>
        <w:rPr>
          <w:rFonts w:ascii="Arial" w:hAnsi="Arial" w:cs="Arial"/>
        </w:rPr>
        <w:t>establecen lo siguiente:</w:t>
      </w:r>
    </w:p>
    <w:p w14:paraId="167B001D" w14:textId="77777777" w:rsidR="0087533E" w:rsidRDefault="0087533E" w:rsidP="00D553EF">
      <w:pPr>
        <w:pStyle w:val="Textoindependiente"/>
        <w:spacing w:before="2" w:line="360" w:lineRule="auto"/>
        <w:jc w:val="both"/>
        <w:rPr>
          <w:rFonts w:ascii="Arial" w:hAnsi="Arial" w:cs="Arial"/>
        </w:rPr>
      </w:pPr>
    </w:p>
    <w:p w14:paraId="4D1E752C" w14:textId="516081CC" w:rsidR="00251362" w:rsidRPr="0087533E" w:rsidRDefault="0087533E" w:rsidP="00D553EF">
      <w:pPr>
        <w:pStyle w:val="Textoindependiente"/>
        <w:spacing w:before="2" w:line="360" w:lineRule="auto"/>
        <w:ind w:left="567" w:right="526"/>
        <w:jc w:val="both"/>
        <w:rPr>
          <w:rFonts w:ascii="Arial" w:hAnsi="Arial" w:cs="Arial"/>
          <w:i/>
        </w:rPr>
      </w:pPr>
      <w:r w:rsidRPr="0087533E">
        <w:rPr>
          <w:rFonts w:ascii="Arial" w:hAnsi="Arial" w:cs="Arial"/>
          <w:i/>
        </w:rPr>
        <w:t xml:space="preserve">“Artículo </w:t>
      </w:r>
      <w:r w:rsidR="00251362" w:rsidRPr="0087533E">
        <w:rPr>
          <w:rFonts w:ascii="Arial" w:hAnsi="Arial" w:cs="Arial"/>
          <w:i/>
        </w:rPr>
        <w:t>2.9.- La petición de herencia se deducirá por el heredero testamentario o abintestato, o por el que haga sus veces en la disposición testamentaria.</w:t>
      </w:r>
    </w:p>
    <w:p w14:paraId="2481EAE2" w14:textId="77777777" w:rsidR="00251362" w:rsidRPr="0087533E" w:rsidRDefault="00251362" w:rsidP="00D553EF">
      <w:pPr>
        <w:pStyle w:val="Textoindependiente"/>
        <w:spacing w:before="2" w:line="360" w:lineRule="auto"/>
        <w:ind w:left="567" w:right="526"/>
        <w:jc w:val="both"/>
        <w:rPr>
          <w:rFonts w:ascii="Arial" w:hAnsi="Arial" w:cs="Arial"/>
          <w:i/>
        </w:rPr>
      </w:pPr>
    </w:p>
    <w:p w14:paraId="3CBB9C3B" w14:textId="77777777" w:rsidR="00251362" w:rsidRPr="0087533E" w:rsidRDefault="00251362" w:rsidP="00D553EF">
      <w:pPr>
        <w:pStyle w:val="Textoindependiente"/>
        <w:spacing w:before="2" w:line="360" w:lineRule="auto"/>
        <w:ind w:left="567" w:right="526"/>
        <w:jc w:val="both"/>
        <w:rPr>
          <w:rFonts w:ascii="Arial" w:hAnsi="Arial" w:cs="Arial"/>
          <w:i/>
        </w:rPr>
      </w:pPr>
      <w:r w:rsidRPr="0087533E">
        <w:rPr>
          <w:rFonts w:ascii="Arial" w:hAnsi="Arial" w:cs="Arial"/>
          <w:i/>
        </w:rPr>
        <w:t>Artículo 2.10.- La petición de herencia se da contra el albacea o contra el poseedor de los bienes hereditarios en su carácter de heredero o cesionario de éste, y contra el que no alega título de posesión del bien hereditario o dolosamente dejó de poseerlo.</w:t>
      </w:r>
    </w:p>
    <w:p w14:paraId="046544DA" w14:textId="77777777" w:rsidR="00251362" w:rsidRPr="0087533E" w:rsidRDefault="00251362" w:rsidP="00D553EF">
      <w:pPr>
        <w:pStyle w:val="Textoindependiente"/>
        <w:spacing w:before="2" w:line="360" w:lineRule="auto"/>
        <w:ind w:left="567" w:right="526"/>
        <w:jc w:val="both"/>
        <w:rPr>
          <w:rFonts w:ascii="Arial" w:hAnsi="Arial" w:cs="Arial"/>
          <w:i/>
        </w:rPr>
      </w:pPr>
    </w:p>
    <w:p w14:paraId="14FFDBE5" w14:textId="2463E6D0" w:rsidR="00C71CEB" w:rsidRPr="0087533E" w:rsidRDefault="00251362" w:rsidP="00D553EF">
      <w:pPr>
        <w:pStyle w:val="Textoindependiente"/>
        <w:spacing w:before="2" w:line="360" w:lineRule="auto"/>
        <w:ind w:left="567" w:right="526"/>
        <w:jc w:val="both"/>
        <w:rPr>
          <w:rFonts w:ascii="Arial" w:hAnsi="Arial" w:cs="Arial"/>
          <w:i/>
        </w:rPr>
      </w:pPr>
      <w:r w:rsidRPr="0087533E">
        <w:rPr>
          <w:rFonts w:ascii="Arial" w:hAnsi="Arial" w:cs="Arial"/>
          <w:i/>
        </w:rPr>
        <w:t>Artículo 2.11.- La petición de herencia se ejercitará para que sea declarado heredero el actor, se le haga entrega de los bienes hereditarios con sus accesiones, se le rindan cuentas y se le indemnice</w:t>
      </w:r>
      <w:r w:rsidR="0087533E" w:rsidRPr="0087533E">
        <w:rPr>
          <w:rFonts w:ascii="Arial" w:hAnsi="Arial" w:cs="Arial"/>
          <w:i/>
        </w:rPr>
        <w:t>”</w:t>
      </w:r>
      <w:r w:rsidRPr="0087533E">
        <w:rPr>
          <w:rFonts w:ascii="Arial" w:hAnsi="Arial" w:cs="Arial"/>
          <w:i/>
        </w:rPr>
        <w:t>.</w:t>
      </w:r>
      <w:r w:rsidR="0087533E" w:rsidRPr="0087533E">
        <w:rPr>
          <w:rStyle w:val="Refdenotaalpie"/>
          <w:rFonts w:ascii="Arial" w:hAnsi="Arial" w:cs="Arial"/>
          <w:i/>
        </w:rPr>
        <w:footnoteReference w:id="11"/>
      </w:r>
    </w:p>
    <w:p w14:paraId="36A3AF8B" w14:textId="77777777" w:rsidR="00C71CEB" w:rsidRPr="00042155" w:rsidRDefault="00C71CEB" w:rsidP="00D553EF">
      <w:pPr>
        <w:pStyle w:val="Textoindependiente"/>
        <w:spacing w:before="2" w:line="360" w:lineRule="auto"/>
        <w:jc w:val="both"/>
        <w:rPr>
          <w:rFonts w:ascii="Arial" w:hAnsi="Arial" w:cs="Arial"/>
        </w:rPr>
      </w:pPr>
    </w:p>
    <w:p w14:paraId="422F9C76" w14:textId="63B513BA" w:rsidR="00D70EF5" w:rsidRPr="00042155" w:rsidRDefault="00D70EF5" w:rsidP="00D553EF">
      <w:pPr>
        <w:pStyle w:val="Textoindependiente"/>
        <w:spacing w:before="2" w:line="360" w:lineRule="auto"/>
        <w:jc w:val="both"/>
        <w:rPr>
          <w:rFonts w:ascii="Arial" w:hAnsi="Arial" w:cs="Arial"/>
        </w:rPr>
      </w:pPr>
      <w:r w:rsidRPr="00042155">
        <w:rPr>
          <w:rFonts w:ascii="Arial" w:hAnsi="Arial" w:cs="Arial"/>
        </w:rPr>
        <w:t xml:space="preserve">Además de la normativa citada se encuentran antecedentes </w:t>
      </w:r>
      <w:r w:rsidR="0069092E" w:rsidRPr="00042155">
        <w:rPr>
          <w:rFonts w:ascii="Arial" w:hAnsi="Arial" w:cs="Arial"/>
        </w:rPr>
        <w:t>jurisprudenciales</w:t>
      </w:r>
      <w:r w:rsidR="0069092E">
        <w:rPr>
          <w:rFonts w:ascii="Arial" w:hAnsi="Arial" w:cs="Arial"/>
        </w:rPr>
        <w:t xml:space="preserve"> </w:t>
      </w:r>
      <w:r w:rsidR="0069092E" w:rsidRPr="00042155">
        <w:rPr>
          <w:rFonts w:ascii="Arial" w:hAnsi="Arial" w:cs="Arial"/>
        </w:rPr>
        <w:t>y</w:t>
      </w:r>
      <w:r w:rsidRPr="00042155">
        <w:rPr>
          <w:rFonts w:ascii="Arial" w:hAnsi="Arial" w:cs="Arial"/>
        </w:rPr>
        <w:t xml:space="preserve"> tesis aisladas que ha emitido la Suprema Corte de Justicia de la Nación a través del Semanario Judicial de la Federación </w:t>
      </w:r>
      <w:r w:rsidR="0069092E">
        <w:rPr>
          <w:rFonts w:ascii="Arial" w:hAnsi="Arial" w:cs="Arial"/>
        </w:rPr>
        <w:t xml:space="preserve">en los cuales se establecen los criterios que se han establecido respecto a la controversia que se establece ante la imprecisión legal respecto al modo de adquirir la propiedad los herederos de las sucesiones, </w:t>
      </w:r>
      <w:r w:rsidRPr="00042155">
        <w:rPr>
          <w:rFonts w:ascii="Arial" w:hAnsi="Arial" w:cs="Arial"/>
        </w:rPr>
        <w:t xml:space="preserve"> </w:t>
      </w:r>
      <w:r w:rsidR="0069092E">
        <w:rPr>
          <w:rFonts w:ascii="Arial" w:hAnsi="Arial" w:cs="Arial"/>
        </w:rPr>
        <w:t>en torno a la posesión material a cargo del albacea o de los coherederos por ministerio de Ley, s</w:t>
      </w:r>
      <w:r w:rsidRPr="00042155">
        <w:rPr>
          <w:rFonts w:ascii="Arial" w:hAnsi="Arial" w:cs="Arial"/>
        </w:rPr>
        <w:t>iendo las siguientes</w:t>
      </w:r>
      <w:r w:rsidR="0069092E">
        <w:rPr>
          <w:rFonts w:ascii="Arial" w:hAnsi="Arial" w:cs="Arial"/>
        </w:rPr>
        <w:t>:</w:t>
      </w:r>
    </w:p>
    <w:p w14:paraId="3792415F" w14:textId="7465B4E1" w:rsidR="00EC31DA" w:rsidRPr="00042155" w:rsidRDefault="00EC31DA" w:rsidP="00D553EF">
      <w:pPr>
        <w:pStyle w:val="Textoindependiente"/>
        <w:spacing w:before="2" w:line="360" w:lineRule="auto"/>
        <w:jc w:val="both"/>
        <w:rPr>
          <w:rFonts w:ascii="Arial" w:hAnsi="Arial" w:cs="Arial"/>
        </w:rPr>
      </w:pPr>
    </w:p>
    <w:p w14:paraId="35EE89DE"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Tesis</w:t>
      </w:r>
    </w:p>
    <w:p w14:paraId="1B2BE656"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Registro digital: 170964</w:t>
      </w:r>
    </w:p>
    <w:p w14:paraId="1BF42ADE"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Instancia: Primera Sala</w:t>
      </w:r>
    </w:p>
    <w:p w14:paraId="59B32AA4"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Novena Época</w:t>
      </w:r>
    </w:p>
    <w:p w14:paraId="1043B0FE"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Materia(s): Civil</w:t>
      </w:r>
    </w:p>
    <w:p w14:paraId="1450F689"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Tesis: 1a./J. 140/2007</w:t>
      </w:r>
    </w:p>
    <w:p w14:paraId="2A9ADAB8"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Fuente: Semanario Judicial de la Federación y su Gaceta.</w:t>
      </w:r>
    </w:p>
    <w:p w14:paraId="11C59FF6"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Tomo XXVI, Noviembre de 2007, página 86</w:t>
      </w:r>
    </w:p>
    <w:p w14:paraId="65965A8C"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Tipo: Jurisprudencia</w:t>
      </w:r>
    </w:p>
    <w:p w14:paraId="541C9B91" w14:textId="77777777" w:rsidR="007A616D" w:rsidRPr="00042155" w:rsidRDefault="007A616D" w:rsidP="00D553EF">
      <w:pPr>
        <w:pStyle w:val="Textoindependiente"/>
        <w:spacing w:before="2" w:line="360" w:lineRule="auto"/>
        <w:jc w:val="both"/>
        <w:rPr>
          <w:rFonts w:ascii="Arial" w:hAnsi="Arial" w:cs="Arial"/>
        </w:rPr>
      </w:pPr>
    </w:p>
    <w:p w14:paraId="6888DEA4"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BIENES HEREDITARIOS. PARA LA ENTREGA DE LA POSESIÓN MATERIAL DE LOS MISMOS AL ALBACEA, CUANDO LA DETENTAN LOS HEREDEROS, ES NECESARIA LA PROMOCIÓN DE UN INCIDENTE EN EL JUICIO SUCESORIO (LEGISLACIONES DE NUEVO LEÓN Y DEL DISTRITO FEDERAL).</w:t>
      </w:r>
    </w:p>
    <w:p w14:paraId="65D23907" w14:textId="77777777" w:rsidR="007A616D" w:rsidRPr="00042155" w:rsidRDefault="007A616D" w:rsidP="00D553EF">
      <w:pPr>
        <w:pStyle w:val="Textoindependiente"/>
        <w:spacing w:before="2" w:line="360" w:lineRule="auto"/>
        <w:jc w:val="both"/>
        <w:rPr>
          <w:rFonts w:ascii="Arial" w:hAnsi="Arial" w:cs="Arial"/>
        </w:rPr>
      </w:pPr>
    </w:p>
    <w:p w14:paraId="32047000" w14:textId="5791216C" w:rsidR="007A616D" w:rsidRPr="00042155" w:rsidRDefault="00E3560A" w:rsidP="00D553EF">
      <w:pPr>
        <w:pStyle w:val="Textoindependiente"/>
        <w:spacing w:before="2" w:line="360" w:lineRule="auto"/>
        <w:jc w:val="both"/>
        <w:rPr>
          <w:rFonts w:ascii="Arial" w:hAnsi="Arial" w:cs="Arial"/>
        </w:rPr>
      </w:pPr>
      <w:r>
        <w:rPr>
          <w:rFonts w:ascii="Arial" w:hAnsi="Arial" w:cs="Arial"/>
        </w:rPr>
        <w:t>De la interpretación en</w:t>
      </w:r>
      <w:r w:rsidR="007A616D" w:rsidRPr="00042155">
        <w:rPr>
          <w:rFonts w:ascii="Arial" w:hAnsi="Arial" w:cs="Arial"/>
        </w:rPr>
        <w:t xml:space="preserve"> lo dispuesto en los artículos 1601, 205 y 1603 del Código Civil del Estado de Nuevo León, así como sus correlativos 1704, 205, 1705 y 1706 del Código Civil para el Distrito Federal, se desprende que tanto los herederos como el albacea tienen derecho a la posesión de los bienes que conforman la masa hereditaria, lo cual habrá de ser entendido en la forma y términos que la misma ley regula las obligaciones y derechos de los herederos y ejecutores universales, pero siempre con el fin de su conservación hasta la partición. De esa manera, si los hechos que imperan durante el trámite sucesorio, revelan que son los coherederos quienes poseen un inmueble objeto de la herencia, el albacea deberá promover vía incidental la entrega de esa posesión material, debiendo justificarla en virtud de que realizará actos tendientes a obtener recursos en pro de efectuar los gastos de administración que caen dentro de su esfera de acción, lo anterior es así porque es indispensable respetar el derecho de audiencia de los herederos poseedores, consagrado en el artículo 14 de la Ley fundamental, pues éstos también tienen derecho a la posesión de los bienes hereditarios; así, el juez deberá resolver la litis incidental, con el ánimo de lograr un debido equilibrio entre las obligaciones del albacea y el derecho de los herederos, porque la naturaleza especial de la institución jurídica del albacea le implica una representación tanto en favor del autor de la herencia como de los derechos de los herederos, por lo que no podría válidamente aceptarse que, si el albacea no justifica la necesidad de tener la posesión material del inmueble, deba ineludiblemente entregársele ésta en detrimento de intereses que también el albacea está obligado a salvaguardar y representar en el procedimiento sucesorio, como son los derechos de los herederos. Lo anterior se constata con lo dispuesto en los numerales 1667 y 1770 de los Códigos Civiles citados, los cuales tienen idéntico texto, que dice: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 asimismo, se prevé que si para cuando el albacea pretenda dar en arrendamiento algún bien de la herencia por un término mayor a un año, habrá de necesitarse la voluntad de los herederos. Razonar en contrario sería tanto como desconocer los derechos que adquieren los herederos, con el pretexto de que el albacea simplemente deba tener la posesión de los bienes, siendo que el trámite del juicio sucesorio persigue precisamente la adjudicación de los bienes a favor de los herederos, para culminar la voluntad del testador y/o de la ley en que se agote la transmisión de los bienes del de </w:t>
      </w:r>
      <w:proofErr w:type="spellStart"/>
      <w:r w:rsidR="007A616D" w:rsidRPr="00042155">
        <w:rPr>
          <w:rFonts w:ascii="Arial" w:hAnsi="Arial" w:cs="Arial"/>
        </w:rPr>
        <w:t>cujus</w:t>
      </w:r>
      <w:proofErr w:type="spellEnd"/>
      <w:r w:rsidR="007A616D" w:rsidRPr="00042155">
        <w:rPr>
          <w:rFonts w:ascii="Arial" w:hAnsi="Arial" w:cs="Arial"/>
        </w:rPr>
        <w:t>.</w:t>
      </w:r>
    </w:p>
    <w:p w14:paraId="6F497A7A" w14:textId="77777777" w:rsidR="007A616D" w:rsidRPr="00042155" w:rsidRDefault="007A616D" w:rsidP="00D553EF">
      <w:pPr>
        <w:pStyle w:val="Textoindependiente"/>
        <w:spacing w:before="2" w:line="360" w:lineRule="auto"/>
        <w:jc w:val="both"/>
        <w:rPr>
          <w:rFonts w:ascii="Arial" w:hAnsi="Arial" w:cs="Arial"/>
        </w:rPr>
      </w:pPr>
    </w:p>
    <w:p w14:paraId="3D5BB62C"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 xml:space="preserve">Contradicción de tesis 163/2006-PS. Entre las sustentadas por el Quinto Tribunal Colegiado en Materia Civil del Primer Circuito y el Primer Tribunal Colegiado en Materia Civil del Cuarto Circuito. 23 de mayo de 2007. Unanimidad de cuatro votos. Ausente: José de Jesús Gudiño Pelayo. Ponente: Juan N. Silva Meza. Secretaria: Guadalupe Robles </w:t>
      </w:r>
      <w:proofErr w:type="spellStart"/>
      <w:r w:rsidRPr="00042155">
        <w:rPr>
          <w:rFonts w:ascii="Arial" w:hAnsi="Arial" w:cs="Arial"/>
        </w:rPr>
        <w:t>Denetro</w:t>
      </w:r>
      <w:proofErr w:type="spellEnd"/>
      <w:r w:rsidRPr="00042155">
        <w:rPr>
          <w:rFonts w:ascii="Arial" w:hAnsi="Arial" w:cs="Arial"/>
        </w:rPr>
        <w:t>.</w:t>
      </w:r>
    </w:p>
    <w:p w14:paraId="7FB02B57" w14:textId="77777777" w:rsidR="007A616D" w:rsidRPr="00042155" w:rsidRDefault="007A616D" w:rsidP="00D553EF">
      <w:pPr>
        <w:pStyle w:val="Textoindependiente"/>
        <w:spacing w:before="2" w:line="360" w:lineRule="auto"/>
        <w:jc w:val="both"/>
        <w:rPr>
          <w:rFonts w:ascii="Arial" w:hAnsi="Arial" w:cs="Arial"/>
        </w:rPr>
      </w:pPr>
    </w:p>
    <w:p w14:paraId="1CD4C18E" w14:textId="35028D2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Tesis de jurisprudencia 140/2007. Aprobada por la Primera Sala de este Alto Tribunal, en sesión de fecha veintinueve de agosto de dos mil siete.</w:t>
      </w:r>
    </w:p>
    <w:p w14:paraId="3DEDEE61" w14:textId="6BDED794" w:rsidR="007A616D" w:rsidRPr="00042155" w:rsidRDefault="007A616D" w:rsidP="00D553EF">
      <w:pPr>
        <w:pStyle w:val="Textoindependiente"/>
        <w:spacing w:before="2" w:line="360" w:lineRule="auto"/>
        <w:jc w:val="both"/>
        <w:rPr>
          <w:rFonts w:ascii="Arial" w:hAnsi="Arial" w:cs="Arial"/>
        </w:rPr>
      </w:pPr>
    </w:p>
    <w:p w14:paraId="06E29F0C"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Tesis</w:t>
      </w:r>
    </w:p>
    <w:p w14:paraId="3EFC562B"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Registro digital: 2019829</w:t>
      </w:r>
    </w:p>
    <w:p w14:paraId="35DDBCB0"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Instancia: Plenos de Circuito</w:t>
      </w:r>
    </w:p>
    <w:p w14:paraId="0F06E67C"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Décima Época</w:t>
      </w:r>
    </w:p>
    <w:p w14:paraId="18276733"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Materia(s): Civil</w:t>
      </w:r>
    </w:p>
    <w:p w14:paraId="5F8137C1"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 xml:space="preserve">Tesis: </w:t>
      </w:r>
      <w:proofErr w:type="gramStart"/>
      <w:r w:rsidRPr="00042155">
        <w:rPr>
          <w:rFonts w:ascii="Arial" w:hAnsi="Arial" w:cs="Arial"/>
        </w:rPr>
        <w:t>PC.XI.</w:t>
      </w:r>
      <w:proofErr w:type="gramEnd"/>
      <w:r w:rsidRPr="00042155">
        <w:rPr>
          <w:rFonts w:ascii="Arial" w:hAnsi="Arial" w:cs="Arial"/>
        </w:rPr>
        <w:t xml:space="preserve"> J/2 C (10a.)</w:t>
      </w:r>
    </w:p>
    <w:p w14:paraId="1B6B371F"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Fuente: Gaceta del Semanario Judicial de la Federación.</w:t>
      </w:r>
    </w:p>
    <w:p w14:paraId="7B2E57EE"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Libro 66, Mayo de 2019, Tomo II, página 1997</w:t>
      </w:r>
    </w:p>
    <w:p w14:paraId="0B70FF4D"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Tipo: Jurisprudencia</w:t>
      </w:r>
    </w:p>
    <w:p w14:paraId="08FED164" w14:textId="77777777" w:rsidR="007A616D" w:rsidRPr="00042155" w:rsidRDefault="007A616D" w:rsidP="00D553EF">
      <w:pPr>
        <w:pStyle w:val="Textoindependiente"/>
        <w:spacing w:before="2" w:line="360" w:lineRule="auto"/>
        <w:jc w:val="both"/>
        <w:rPr>
          <w:rFonts w:ascii="Arial" w:hAnsi="Arial" w:cs="Arial"/>
        </w:rPr>
      </w:pPr>
    </w:p>
    <w:p w14:paraId="32B3A772"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MASA HEREDITARIA. EL JUZGADOR DEBE PONDERAR EN CADA CASO, VÍA INCIDENTAL, SI EL ALBACEA DEBE O NO TENER LA POSESIÓN MATERIAL DE TODOS LOS BIENES QUE LA CONFORMAN PARA DESEMPEÑAR ADECUADAMENTE LAS FUNCIONES QUE LE SON PROPIAS (INTERPRETACIÓN DEL ARTÍCULO 1036 DEL CÓDIGO DE PROCEDIMIENTOS CIVILES DEL ESTADO DE MICHOACÁN ABROGADO, DE IDÉNTICA REDACCIÓN AL ARTÍCULO 1000 DEL ORDENAMIENTO VIGENTE).</w:t>
      </w:r>
    </w:p>
    <w:p w14:paraId="312B8A25" w14:textId="77777777" w:rsidR="007A616D" w:rsidRPr="00042155" w:rsidRDefault="007A616D" w:rsidP="00D553EF">
      <w:pPr>
        <w:pStyle w:val="Textoindependiente"/>
        <w:spacing w:before="2" w:line="360" w:lineRule="auto"/>
        <w:jc w:val="both"/>
        <w:rPr>
          <w:rFonts w:ascii="Arial" w:hAnsi="Arial" w:cs="Arial"/>
        </w:rPr>
      </w:pPr>
    </w:p>
    <w:p w14:paraId="604EB86A"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Conforme a la literalidad del mencionado artículo 1036, si el tenedor de los bienes hereditarios fuere alguno de los herederos o presuntos herederos, a petición del albacea, el Juez podrá emplear los medios de apremio para obligarlo a que los entregue al representante de la sucesión; sin embargo, ese precepto debe someterse a un examen bajo el tamiz de la argumentación jurídica, y no limitarse a resaltar su aparente sentido. En ese tenor, se concluye que no es indispensable que, en todos los casos, el albacea tenga la posesión material de todos los bienes para desempeñar adecuadamente las funciones que le son propias; aceptar una respuesta absoluta, en sentido positivo o negativo, significaría desconocer las múltiples circunstancias y problemas jurídicos que pueden presentarse en torno a las necesidades de la sucesión, cuando éstas se confrontan con los derechos de los herederos; de ahí que se trata de una decisión que debe ponderarse en cada caso a través de la vía incidental, para respetar el derecho de audiencia de los interesados y resolver teniendo en cuenta los derechos ya reconocidos a favor de ciertas personas, la afectación al patrimonio que conforma la masa hereditaria, y los daños que pudieran ocasionarse de manera grave o irreparable a personas en estado de vulnerabilidad; todo lo cual debe ponderar el juzgador en cada caso, para determinar la necesidad de que sea estrictamente el albacea quien deba poseer materialmente los bienes. Estimar que el heredero debe entregar, inexorablemente, al albacea los bienes que éste tenga en posesión, podría entrañar el grave peligro de que el trámite sucesorio se convierta en una vía legalista para desconocer los derechos de los herederos, y alterar el estado jurídico que conservan las cosas sin antes haber realizado un ejercicio de ponderación entre los intereses que se encuentren en juego, con lo que la sucesión sería entonces una forma legal para desconcertar a los herederos, lejos de brindarles seguridad jurídica, que es finalmente lo que se busca con esa clase de juicios universales: una ordenada y justa transmisión de los bienes de una persona fallecida.</w:t>
      </w:r>
    </w:p>
    <w:p w14:paraId="3F8E442C" w14:textId="77777777" w:rsidR="007A616D" w:rsidRPr="00042155" w:rsidRDefault="007A616D" w:rsidP="00D553EF">
      <w:pPr>
        <w:pStyle w:val="Textoindependiente"/>
        <w:spacing w:before="2" w:line="360" w:lineRule="auto"/>
        <w:jc w:val="both"/>
        <w:rPr>
          <w:rFonts w:ascii="Arial" w:hAnsi="Arial" w:cs="Arial"/>
        </w:rPr>
      </w:pPr>
    </w:p>
    <w:p w14:paraId="4FDA2214"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PLENO DEL DECIMOPRIMER CIRCUITO.</w:t>
      </w:r>
    </w:p>
    <w:p w14:paraId="7E5A27C9" w14:textId="77777777" w:rsidR="007A616D" w:rsidRPr="00042155" w:rsidRDefault="007A616D" w:rsidP="00D553EF">
      <w:pPr>
        <w:pStyle w:val="Textoindependiente"/>
        <w:spacing w:before="2" w:line="360" w:lineRule="auto"/>
        <w:jc w:val="both"/>
        <w:rPr>
          <w:rFonts w:ascii="Arial" w:hAnsi="Arial" w:cs="Arial"/>
        </w:rPr>
      </w:pPr>
    </w:p>
    <w:p w14:paraId="3EFE26A9"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 xml:space="preserve">Contradicción de tesis 7/2018. Entre las sustentadas por el entonces Segundo Tribunal Colegiado del Décimo primer Circuito, actual Primer Tribunal Colegiado en Materias Administrativa y de Trabajo del Décimo Primer Circuito, el entonces Cuarto Tribunal Colegiado del Décimo Primer Circuito, actual Tribunal Colegiado en Materia Penal del Décimo Primer Circuito y el Segundo Tribunal Colegiado en Materia Civil del Décimo Primer Circuito. 13 de noviembre de 2018. Unanimidad de cinco votos de los Magistrados </w:t>
      </w:r>
      <w:proofErr w:type="spellStart"/>
      <w:r w:rsidRPr="00042155">
        <w:rPr>
          <w:rFonts w:ascii="Arial" w:hAnsi="Arial" w:cs="Arial"/>
        </w:rPr>
        <w:t>Víctorino</w:t>
      </w:r>
      <w:proofErr w:type="spellEnd"/>
      <w:r w:rsidRPr="00042155">
        <w:rPr>
          <w:rFonts w:ascii="Arial" w:hAnsi="Arial" w:cs="Arial"/>
        </w:rPr>
        <w:t xml:space="preserve"> Rojas Rivera, J. Jesús Contreras Coria, </w:t>
      </w:r>
      <w:proofErr w:type="spellStart"/>
      <w:r w:rsidRPr="00042155">
        <w:rPr>
          <w:rFonts w:ascii="Arial" w:hAnsi="Arial" w:cs="Arial"/>
        </w:rPr>
        <w:t>Hector</w:t>
      </w:r>
      <w:proofErr w:type="spellEnd"/>
      <w:r w:rsidRPr="00042155">
        <w:rPr>
          <w:rFonts w:ascii="Arial" w:hAnsi="Arial" w:cs="Arial"/>
        </w:rPr>
        <w:t xml:space="preserve"> Federico Gutiérrez de Velasco Romo, Óscar Hernández Peraza y José Valle Hernández. Ausente: Moisés Duarte Briz. Ponente: </w:t>
      </w:r>
      <w:proofErr w:type="spellStart"/>
      <w:r w:rsidRPr="00042155">
        <w:rPr>
          <w:rFonts w:ascii="Arial" w:hAnsi="Arial" w:cs="Arial"/>
        </w:rPr>
        <w:t>Víctorino</w:t>
      </w:r>
      <w:proofErr w:type="spellEnd"/>
      <w:r w:rsidRPr="00042155">
        <w:rPr>
          <w:rFonts w:ascii="Arial" w:hAnsi="Arial" w:cs="Arial"/>
        </w:rPr>
        <w:t xml:space="preserve"> Rojas Rivera. Secretario: Francisco Javier López Ávila.</w:t>
      </w:r>
    </w:p>
    <w:p w14:paraId="14029424" w14:textId="77777777" w:rsidR="0069092E" w:rsidRPr="00042155" w:rsidRDefault="0069092E" w:rsidP="00D553EF">
      <w:pPr>
        <w:pStyle w:val="Textoindependiente"/>
        <w:spacing w:before="2" w:line="360" w:lineRule="auto"/>
        <w:jc w:val="both"/>
        <w:rPr>
          <w:rFonts w:ascii="Arial" w:hAnsi="Arial" w:cs="Arial"/>
        </w:rPr>
      </w:pPr>
    </w:p>
    <w:p w14:paraId="7AB9F254"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Criterios contendientes:</w:t>
      </w:r>
    </w:p>
    <w:p w14:paraId="2592C4F6"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Tesis XI.4o.1.C, de rubro: "SUCESIÓN TESTAMENTARIA. EL HEREDERO QUE TIENE LA POSESIÓN JURÍDICA DE UN BIEN DEL CAUDAL HEREDITARIO, NO PUEDE OPONERSE A LA ORDEN QUE EMITA UN JUEZ PARA QUE LO ENTREGUE AL ALBACEA DEFINITIVO (LEGISLACIÓN DEL ESTADO DE MICHOACÁN).", aprobada por el Cuarto Tribunal Colegiado del Décimo Primer Circuito y publicada en el Semanario Judicial de la Federación y su Gaceta, Novena Época, Tomo XXVI, noviembre de 2007, página 765, y</w:t>
      </w:r>
    </w:p>
    <w:p w14:paraId="0A9ACC0A" w14:textId="77777777" w:rsidR="007A616D" w:rsidRPr="00042155" w:rsidRDefault="007A616D" w:rsidP="00D553EF">
      <w:pPr>
        <w:pStyle w:val="Textoindependiente"/>
        <w:spacing w:before="2" w:line="360" w:lineRule="auto"/>
        <w:jc w:val="both"/>
        <w:rPr>
          <w:rFonts w:ascii="Arial" w:hAnsi="Arial" w:cs="Arial"/>
        </w:rPr>
      </w:pPr>
    </w:p>
    <w:p w14:paraId="5C3C47F8" w14:textId="77777777"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El sustentado por el Segundo Tribunal Colegiado Materia Civil del Décimo Primer Circuito, al resolver el amparo en revisión 286/2017.</w:t>
      </w:r>
    </w:p>
    <w:p w14:paraId="0FA1E75D" w14:textId="77777777" w:rsidR="007A616D" w:rsidRPr="00042155" w:rsidRDefault="007A616D" w:rsidP="00D553EF">
      <w:pPr>
        <w:pStyle w:val="Textoindependiente"/>
        <w:spacing w:before="2" w:line="360" w:lineRule="auto"/>
        <w:jc w:val="both"/>
        <w:rPr>
          <w:rFonts w:ascii="Arial" w:hAnsi="Arial" w:cs="Arial"/>
        </w:rPr>
      </w:pPr>
    </w:p>
    <w:p w14:paraId="24AA94AE" w14:textId="042C2060" w:rsidR="007A616D" w:rsidRPr="00042155" w:rsidRDefault="007A616D" w:rsidP="00D553EF">
      <w:pPr>
        <w:pStyle w:val="Textoindependiente"/>
        <w:spacing w:before="2" w:line="360" w:lineRule="auto"/>
        <w:jc w:val="both"/>
        <w:rPr>
          <w:rFonts w:ascii="Arial" w:hAnsi="Arial" w:cs="Arial"/>
        </w:rPr>
      </w:pPr>
      <w:r w:rsidRPr="00042155">
        <w:rPr>
          <w:rFonts w:ascii="Arial" w:hAnsi="Arial" w:cs="Arial"/>
        </w:rPr>
        <w:t>Esta tesis se publicó el viernes 10 de mayo de 2019 a las 10:15 horas en el Semanario Judicial de la Federación y, por ende, se considera de aplicación obligatoria a partir del lunes 13 de mayo de 2019, para los efectos previstos en el punto séptimo del Acuerdo General Plenario 19/2013.</w:t>
      </w:r>
    </w:p>
    <w:p w14:paraId="283614C7" w14:textId="6FA70D23" w:rsidR="0069092E" w:rsidRDefault="0069092E" w:rsidP="00D553EF">
      <w:pPr>
        <w:pStyle w:val="Textoindependiente"/>
        <w:spacing w:before="2" w:line="360" w:lineRule="auto"/>
        <w:jc w:val="both"/>
        <w:rPr>
          <w:rFonts w:ascii="Arial" w:hAnsi="Arial" w:cs="Arial"/>
        </w:rPr>
      </w:pPr>
    </w:p>
    <w:p w14:paraId="12698C5A" w14:textId="77777777" w:rsidR="0069092E" w:rsidRPr="00042155" w:rsidRDefault="0069092E" w:rsidP="00D553EF">
      <w:pPr>
        <w:pStyle w:val="Textoindependiente"/>
        <w:spacing w:before="2" w:line="360" w:lineRule="auto"/>
        <w:jc w:val="both"/>
        <w:rPr>
          <w:rFonts w:ascii="Arial" w:hAnsi="Arial" w:cs="Arial"/>
        </w:rPr>
      </w:pPr>
      <w:r w:rsidRPr="00042155">
        <w:rPr>
          <w:rFonts w:ascii="Arial" w:hAnsi="Arial" w:cs="Arial"/>
        </w:rPr>
        <w:t>Tesis</w:t>
      </w:r>
    </w:p>
    <w:p w14:paraId="763A0FB1" w14:textId="77777777" w:rsidR="0069092E" w:rsidRPr="00042155" w:rsidRDefault="0069092E" w:rsidP="00D553EF">
      <w:pPr>
        <w:pStyle w:val="Textoindependiente"/>
        <w:spacing w:before="2" w:line="360" w:lineRule="auto"/>
        <w:jc w:val="both"/>
        <w:rPr>
          <w:rFonts w:ascii="Arial" w:hAnsi="Arial" w:cs="Arial"/>
        </w:rPr>
      </w:pPr>
      <w:r w:rsidRPr="00042155">
        <w:rPr>
          <w:rFonts w:ascii="Arial" w:hAnsi="Arial" w:cs="Arial"/>
        </w:rPr>
        <w:t>Registro digital: 169015</w:t>
      </w:r>
    </w:p>
    <w:p w14:paraId="3426085C" w14:textId="77777777" w:rsidR="0069092E" w:rsidRPr="00042155" w:rsidRDefault="0069092E" w:rsidP="00D553EF">
      <w:pPr>
        <w:pStyle w:val="Textoindependiente"/>
        <w:spacing w:before="2" w:line="360" w:lineRule="auto"/>
        <w:jc w:val="both"/>
        <w:rPr>
          <w:rFonts w:ascii="Arial" w:hAnsi="Arial" w:cs="Arial"/>
        </w:rPr>
      </w:pPr>
      <w:r w:rsidRPr="00042155">
        <w:rPr>
          <w:rFonts w:ascii="Arial" w:hAnsi="Arial" w:cs="Arial"/>
        </w:rPr>
        <w:t>Instancia: Tribunales Colegiados de Circuito</w:t>
      </w:r>
    </w:p>
    <w:p w14:paraId="61EBE6DA" w14:textId="77777777" w:rsidR="0069092E" w:rsidRPr="00042155" w:rsidRDefault="0069092E" w:rsidP="00D553EF">
      <w:pPr>
        <w:pStyle w:val="Textoindependiente"/>
        <w:spacing w:before="2" w:line="360" w:lineRule="auto"/>
        <w:jc w:val="both"/>
        <w:rPr>
          <w:rFonts w:ascii="Arial" w:hAnsi="Arial" w:cs="Arial"/>
        </w:rPr>
      </w:pPr>
      <w:r w:rsidRPr="00042155">
        <w:rPr>
          <w:rFonts w:ascii="Arial" w:hAnsi="Arial" w:cs="Arial"/>
        </w:rPr>
        <w:t>Novena Época</w:t>
      </w:r>
    </w:p>
    <w:p w14:paraId="63AE172B" w14:textId="77777777" w:rsidR="0069092E" w:rsidRPr="00042155" w:rsidRDefault="0069092E" w:rsidP="00D553EF">
      <w:pPr>
        <w:pStyle w:val="Textoindependiente"/>
        <w:spacing w:before="2" w:line="360" w:lineRule="auto"/>
        <w:jc w:val="both"/>
        <w:rPr>
          <w:rFonts w:ascii="Arial" w:hAnsi="Arial" w:cs="Arial"/>
        </w:rPr>
      </w:pPr>
      <w:r w:rsidRPr="00042155">
        <w:rPr>
          <w:rFonts w:ascii="Arial" w:hAnsi="Arial" w:cs="Arial"/>
        </w:rPr>
        <w:t>Materia(s): Civil</w:t>
      </w:r>
    </w:p>
    <w:p w14:paraId="46407CC0" w14:textId="77777777" w:rsidR="0069092E" w:rsidRPr="00042155" w:rsidRDefault="0069092E" w:rsidP="00D553EF">
      <w:pPr>
        <w:pStyle w:val="Textoindependiente"/>
        <w:spacing w:before="2" w:line="360" w:lineRule="auto"/>
        <w:jc w:val="both"/>
        <w:rPr>
          <w:rFonts w:ascii="Arial" w:hAnsi="Arial" w:cs="Arial"/>
        </w:rPr>
      </w:pPr>
      <w:r w:rsidRPr="00042155">
        <w:rPr>
          <w:rFonts w:ascii="Arial" w:hAnsi="Arial" w:cs="Arial"/>
        </w:rPr>
        <w:t>Tesis: I.4o.C.140 C</w:t>
      </w:r>
    </w:p>
    <w:p w14:paraId="6CEA49F8" w14:textId="77777777" w:rsidR="0069092E" w:rsidRPr="00042155" w:rsidRDefault="0069092E" w:rsidP="00D553EF">
      <w:pPr>
        <w:pStyle w:val="Textoindependiente"/>
        <w:spacing w:before="2" w:line="360" w:lineRule="auto"/>
        <w:jc w:val="both"/>
        <w:rPr>
          <w:rFonts w:ascii="Arial" w:hAnsi="Arial" w:cs="Arial"/>
        </w:rPr>
      </w:pPr>
      <w:r w:rsidRPr="00042155">
        <w:rPr>
          <w:rFonts w:ascii="Arial" w:hAnsi="Arial" w:cs="Arial"/>
        </w:rPr>
        <w:t>Fuente: Semanario Judicial de la Federación y su Gaceta.</w:t>
      </w:r>
    </w:p>
    <w:p w14:paraId="73249418" w14:textId="77777777" w:rsidR="0069092E" w:rsidRPr="00042155" w:rsidRDefault="0069092E" w:rsidP="00D553EF">
      <w:pPr>
        <w:pStyle w:val="Textoindependiente"/>
        <w:spacing w:before="2" w:line="360" w:lineRule="auto"/>
        <w:jc w:val="both"/>
        <w:rPr>
          <w:rFonts w:ascii="Arial" w:hAnsi="Arial" w:cs="Arial"/>
        </w:rPr>
      </w:pPr>
      <w:r w:rsidRPr="00042155">
        <w:rPr>
          <w:rFonts w:ascii="Arial" w:hAnsi="Arial" w:cs="Arial"/>
        </w:rPr>
        <w:t>Tomo XXVIII, Septiembre de 2008, página 1168</w:t>
      </w:r>
    </w:p>
    <w:p w14:paraId="5D52573A" w14:textId="77777777" w:rsidR="0069092E" w:rsidRPr="00042155" w:rsidRDefault="0069092E" w:rsidP="00D553EF">
      <w:pPr>
        <w:pStyle w:val="Textoindependiente"/>
        <w:spacing w:before="2" w:line="360" w:lineRule="auto"/>
        <w:jc w:val="both"/>
        <w:rPr>
          <w:rFonts w:ascii="Arial" w:hAnsi="Arial" w:cs="Arial"/>
        </w:rPr>
      </w:pPr>
      <w:r w:rsidRPr="00042155">
        <w:rPr>
          <w:rFonts w:ascii="Arial" w:hAnsi="Arial" w:cs="Arial"/>
        </w:rPr>
        <w:t>Tipo: Aislada</w:t>
      </w:r>
    </w:p>
    <w:p w14:paraId="3AE9254F" w14:textId="77777777" w:rsidR="0069092E" w:rsidRPr="00042155" w:rsidRDefault="0069092E" w:rsidP="00D553EF">
      <w:pPr>
        <w:pStyle w:val="Textoindependiente"/>
        <w:spacing w:before="2" w:line="360" w:lineRule="auto"/>
        <w:jc w:val="both"/>
        <w:rPr>
          <w:rFonts w:ascii="Arial" w:hAnsi="Arial" w:cs="Arial"/>
        </w:rPr>
      </w:pPr>
    </w:p>
    <w:p w14:paraId="1D492E5A" w14:textId="77777777" w:rsidR="0069092E" w:rsidRPr="00042155" w:rsidRDefault="0069092E" w:rsidP="00D553EF">
      <w:pPr>
        <w:pStyle w:val="Textoindependiente"/>
        <w:spacing w:before="2" w:line="360" w:lineRule="auto"/>
        <w:jc w:val="both"/>
        <w:rPr>
          <w:rFonts w:ascii="Arial" w:hAnsi="Arial" w:cs="Arial"/>
        </w:rPr>
      </w:pPr>
      <w:r w:rsidRPr="00042155">
        <w:rPr>
          <w:rFonts w:ascii="Arial" w:hAnsi="Arial" w:cs="Arial"/>
        </w:rPr>
        <w:t>ACCIÓN REIVINDICATORIA. IMPROCEDENCIA DE SU EJERCICIO ENTRE COHEREDEROS.</w:t>
      </w:r>
    </w:p>
    <w:p w14:paraId="33017F88" w14:textId="77777777" w:rsidR="0069092E" w:rsidRPr="00042155" w:rsidRDefault="0069092E" w:rsidP="00D553EF">
      <w:pPr>
        <w:pStyle w:val="Textoindependiente"/>
        <w:spacing w:before="2" w:line="360" w:lineRule="auto"/>
        <w:jc w:val="both"/>
        <w:rPr>
          <w:rFonts w:ascii="Arial" w:hAnsi="Arial" w:cs="Arial"/>
        </w:rPr>
      </w:pPr>
      <w:r w:rsidRPr="00042155">
        <w:rPr>
          <w:rFonts w:ascii="Arial" w:hAnsi="Arial" w:cs="Arial"/>
        </w:rPr>
        <w:t>Conforme a los artículos 743, 790, 796, 938, 1288, 1704, 1705, 1706 y 1770 del Código Civil para el Distrito Federal, salvo que en testamento, se establezca otra cosa, a partir de la muerte del autor de la sucesión, los herederos adquieren derechos sobre la masa hereditaria, como un patrimonio común, mientras no se haga la división de los bienes hereditarios, con la condición de no darle un destino impropio ni causar daño ni perturbación a la posesión de los demás. Ello implica que, en tanto no se les haga división de los bienes hereditarios, los coherederos no tienen dominio sobre partes determinadas de la cosa sino un derecho sobre todas y cada una de las partes de tales bienes, es decir, sobre una parte alícuota. Por su parte, la acción reivindicatoria es la acción real que tiene el propietario de un bien mueble o inmueble, cuyo objeto es la declaración judicial de su derecho de dominio para que se le devuelva el bien con sus frutos y accesorios. Atento a lo anterior, no es procedente la acción reivindicatoria intentada por el albacea o coheredero contra otro de los coherederos cuando se vea privado de su derecho de uso y goce de uno o más bienes hereditarios, porque los efectos y finalidades de tal acción no se actualizan; en primer lugar, no podría declararse judicialmente que la sucesión actora tiene dominio sobre el bien, por ser también el coheredero enjuiciado partícipe del patrimonio común, mientras no se haga la división correspondiente; en segundo lugar, no podría condenarse a este último a la entrega de la cosa, pues su derecho de posesión se transmite, por ministerio de ley, desde el momento de la muerte del autor de la sucesión; en tercer lugar, aun cuando no pueda afirmarse que el bien objeto del patrimonio común sea una cosa genérica e indeterminada, lo cierto es que al permanecer los bienes hereditarios como un patrimonio común, sin división, esto es, sin división material de partes y adjudicación, no existe certeza y determinación respecto de la porción perteneciente físicamente al accionante; y, en cuarto lugar, la consabida acción sólo compete al propietario contra quien posee la cosa, mas no contra quien además de poseedor, tiene derecho sobre bienes que conforman la masa hereditaria. Lo anterior no deja indefenso al albacea o coheredero que no está en posesión del bien común, pues puede exigir el respeto de sus derechos mediante un incidente innominado, dentro del juicio sucesorio correspondiente, sin que implique el desconocimiento del derecho a favor de los otros coherederos, en términos de los preceptos antes invocados.</w:t>
      </w:r>
    </w:p>
    <w:p w14:paraId="5B8645F8" w14:textId="77777777" w:rsidR="0069092E" w:rsidRPr="00042155" w:rsidRDefault="0069092E" w:rsidP="00D553EF">
      <w:pPr>
        <w:pStyle w:val="Textoindependiente"/>
        <w:spacing w:before="2" w:line="360" w:lineRule="auto"/>
        <w:jc w:val="both"/>
        <w:rPr>
          <w:rFonts w:ascii="Arial" w:hAnsi="Arial" w:cs="Arial"/>
        </w:rPr>
      </w:pPr>
    </w:p>
    <w:p w14:paraId="49371276" w14:textId="77777777" w:rsidR="0069092E" w:rsidRPr="00042155" w:rsidRDefault="0069092E" w:rsidP="00D553EF">
      <w:pPr>
        <w:pStyle w:val="Textoindependiente"/>
        <w:spacing w:before="2" w:line="360" w:lineRule="auto"/>
        <w:jc w:val="both"/>
        <w:rPr>
          <w:rFonts w:ascii="Arial" w:hAnsi="Arial" w:cs="Arial"/>
        </w:rPr>
      </w:pPr>
      <w:r w:rsidRPr="00042155">
        <w:rPr>
          <w:rFonts w:ascii="Arial" w:hAnsi="Arial" w:cs="Arial"/>
        </w:rPr>
        <w:t>CUARTO TRIBUNAL COLEGIADO EN MATERIA CIVIL DEL PRIMER CIRCUITO.</w:t>
      </w:r>
    </w:p>
    <w:p w14:paraId="60CC0AC3" w14:textId="77777777" w:rsidR="0069092E" w:rsidRPr="00042155" w:rsidRDefault="0069092E" w:rsidP="00D553EF">
      <w:pPr>
        <w:pStyle w:val="Textoindependiente"/>
        <w:spacing w:before="2" w:line="360" w:lineRule="auto"/>
        <w:jc w:val="both"/>
        <w:rPr>
          <w:rFonts w:ascii="Arial" w:hAnsi="Arial" w:cs="Arial"/>
        </w:rPr>
      </w:pPr>
    </w:p>
    <w:p w14:paraId="0EC5C923" w14:textId="2D4DC82C" w:rsidR="0069092E" w:rsidRPr="00042155" w:rsidRDefault="0069092E" w:rsidP="00D553EF">
      <w:pPr>
        <w:pStyle w:val="Textoindependiente"/>
        <w:spacing w:before="2" w:line="360" w:lineRule="auto"/>
        <w:jc w:val="both"/>
        <w:rPr>
          <w:rFonts w:ascii="Arial" w:hAnsi="Arial" w:cs="Arial"/>
        </w:rPr>
      </w:pPr>
      <w:r w:rsidRPr="00042155">
        <w:rPr>
          <w:rFonts w:ascii="Arial" w:hAnsi="Arial" w:cs="Arial"/>
        </w:rPr>
        <w:t>Amparo directo 378/2007. Adela Carrillo Sánchez, su sucesión. 14 de junio de 2007. Unanimidad de votos. Ponente: Francisco J. Sandoval López. Secretario: Francisco Juri Madrigal Paniagua.</w:t>
      </w:r>
      <w:r w:rsidR="00A0489F">
        <w:rPr>
          <w:rStyle w:val="Refdenotaalpie"/>
          <w:rFonts w:ascii="Arial" w:hAnsi="Arial" w:cs="Arial"/>
        </w:rPr>
        <w:footnoteReference w:id="12"/>
      </w:r>
    </w:p>
    <w:p w14:paraId="39A1E20B" w14:textId="325CCBA5" w:rsidR="0069092E" w:rsidRDefault="0069092E" w:rsidP="00D553EF">
      <w:pPr>
        <w:pStyle w:val="Textoindependiente"/>
        <w:spacing w:before="2" w:line="360" w:lineRule="auto"/>
        <w:jc w:val="both"/>
        <w:rPr>
          <w:rFonts w:ascii="Arial" w:hAnsi="Arial" w:cs="Arial"/>
        </w:rPr>
      </w:pPr>
    </w:p>
    <w:p w14:paraId="00E29F93" w14:textId="6396766C" w:rsidR="00EC31DA" w:rsidRPr="00042155" w:rsidRDefault="00A0489F" w:rsidP="00D553EF">
      <w:pPr>
        <w:pStyle w:val="Textoindependiente"/>
        <w:spacing w:before="2" w:line="360" w:lineRule="auto"/>
        <w:jc w:val="both"/>
        <w:rPr>
          <w:rFonts w:ascii="Arial" w:hAnsi="Arial" w:cs="Arial"/>
        </w:rPr>
      </w:pPr>
      <w:r>
        <w:rPr>
          <w:rFonts w:ascii="Arial" w:hAnsi="Arial" w:cs="Arial"/>
        </w:rPr>
        <w:t xml:space="preserve">De los </w:t>
      </w:r>
      <w:r w:rsidR="0069092E" w:rsidRPr="00042155">
        <w:rPr>
          <w:rFonts w:ascii="Arial" w:hAnsi="Arial" w:cs="Arial"/>
        </w:rPr>
        <w:t>antecedentes jurisprudenciales</w:t>
      </w:r>
      <w:r w:rsidR="0069092E">
        <w:rPr>
          <w:rFonts w:ascii="Arial" w:hAnsi="Arial" w:cs="Arial"/>
        </w:rPr>
        <w:t xml:space="preserve"> </w:t>
      </w:r>
      <w:r w:rsidR="0069092E" w:rsidRPr="00042155">
        <w:rPr>
          <w:rFonts w:ascii="Arial" w:hAnsi="Arial" w:cs="Arial"/>
        </w:rPr>
        <w:t xml:space="preserve">y tesis aisladas </w:t>
      </w:r>
      <w:r>
        <w:rPr>
          <w:rFonts w:ascii="Arial" w:hAnsi="Arial" w:cs="Arial"/>
        </w:rPr>
        <w:t xml:space="preserve">señalados </w:t>
      </w:r>
      <w:r w:rsidR="0069092E" w:rsidRPr="00042155">
        <w:rPr>
          <w:rFonts w:ascii="Arial" w:hAnsi="Arial" w:cs="Arial"/>
        </w:rPr>
        <w:t>que ha emitido la Suprema Corte de Justicia de la Nación</w:t>
      </w:r>
      <w:r w:rsidR="00B2647D" w:rsidRPr="00042155">
        <w:rPr>
          <w:rFonts w:ascii="Arial" w:hAnsi="Arial" w:cs="Arial"/>
        </w:rPr>
        <w:t xml:space="preserve"> se advierte que</w:t>
      </w:r>
      <w:r>
        <w:rPr>
          <w:rFonts w:ascii="Arial" w:hAnsi="Arial" w:cs="Arial"/>
        </w:rPr>
        <w:t xml:space="preserve">, </w:t>
      </w:r>
      <w:r w:rsidR="00B2647D" w:rsidRPr="00042155">
        <w:rPr>
          <w:rFonts w:ascii="Arial" w:hAnsi="Arial" w:cs="Arial"/>
        </w:rPr>
        <w:t xml:space="preserve"> no es necesario propiciar en la presente reforma el procedimiento a través de juicio incidental </w:t>
      </w:r>
      <w:r>
        <w:rPr>
          <w:rFonts w:ascii="Arial" w:hAnsi="Arial" w:cs="Arial"/>
        </w:rPr>
        <w:t xml:space="preserve"> y que </w:t>
      </w:r>
      <w:r w:rsidR="00C765A1">
        <w:rPr>
          <w:rFonts w:ascii="Arial" w:hAnsi="Arial" w:cs="Arial"/>
        </w:rPr>
        <w:t>es necesario evitar acciones que eventualmente mantienen por periodos de tiempo muy largos</w:t>
      </w:r>
      <w:r w:rsidR="0009339F">
        <w:rPr>
          <w:rFonts w:ascii="Arial" w:hAnsi="Arial" w:cs="Arial"/>
        </w:rPr>
        <w:t>,</w:t>
      </w:r>
      <w:r w:rsidR="00C765A1">
        <w:rPr>
          <w:rFonts w:ascii="Arial" w:hAnsi="Arial" w:cs="Arial"/>
        </w:rPr>
        <w:t xml:space="preserve"> incluso de años y desgaste de los que tiene</w:t>
      </w:r>
      <w:r w:rsidR="00B8796B">
        <w:rPr>
          <w:rFonts w:ascii="Arial" w:hAnsi="Arial" w:cs="Arial"/>
        </w:rPr>
        <w:t>n</w:t>
      </w:r>
      <w:r w:rsidR="00C765A1">
        <w:rPr>
          <w:rFonts w:ascii="Arial" w:hAnsi="Arial" w:cs="Arial"/>
        </w:rPr>
        <w:t xml:space="preserve"> derecho a las sucesiones, y dicha falta de regulación se resuelve adicionando  el </w:t>
      </w:r>
      <w:r w:rsidR="00C765A1" w:rsidRPr="00C765A1">
        <w:rPr>
          <w:rFonts w:ascii="Arial" w:hAnsi="Arial" w:cs="Arial"/>
        </w:rPr>
        <w:t>ARTÍCULO 6.225, DEL CAPITULO IV DE LOS ALBACEAS E INTERVENTORES, DEL CÓDIGO CIVIL DEL ESTADO DE MÉXICO</w:t>
      </w:r>
      <w:r w:rsidR="00C765A1">
        <w:rPr>
          <w:rFonts w:ascii="Arial" w:hAnsi="Arial" w:cs="Arial"/>
        </w:rPr>
        <w:t>,</w:t>
      </w:r>
      <w:r w:rsidR="00C765A1" w:rsidRPr="00042155">
        <w:rPr>
          <w:rFonts w:ascii="Arial" w:hAnsi="Arial" w:cs="Arial"/>
        </w:rPr>
        <w:t xml:space="preserve"> </w:t>
      </w:r>
      <w:r w:rsidR="00B2647D" w:rsidRPr="00042155">
        <w:rPr>
          <w:rFonts w:ascii="Arial" w:hAnsi="Arial" w:cs="Arial"/>
        </w:rPr>
        <w:t xml:space="preserve">para </w:t>
      </w:r>
      <w:r w:rsidR="00DA6232" w:rsidRPr="00042155">
        <w:rPr>
          <w:rFonts w:ascii="Arial" w:hAnsi="Arial" w:cs="Arial"/>
        </w:rPr>
        <w:t xml:space="preserve">incluir </w:t>
      </w:r>
      <w:r w:rsidR="00C765A1">
        <w:rPr>
          <w:rFonts w:ascii="Arial" w:hAnsi="Arial" w:cs="Arial"/>
        </w:rPr>
        <w:t xml:space="preserve">el mecanismo que otorgue seguridad y certeza legal a través del consentimiento de los herederos, respecto a la posesión material de </w:t>
      </w:r>
      <w:r w:rsidR="0047170D">
        <w:rPr>
          <w:rFonts w:ascii="Arial" w:hAnsi="Arial" w:cs="Arial"/>
        </w:rPr>
        <w:t>los</w:t>
      </w:r>
      <w:r w:rsidR="00C765A1">
        <w:rPr>
          <w:rFonts w:ascii="Arial" w:hAnsi="Arial" w:cs="Arial"/>
        </w:rPr>
        <w:t xml:space="preserve"> bienes que forman la masa hereditaria.</w:t>
      </w:r>
    </w:p>
    <w:p w14:paraId="49B8442C" w14:textId="76AFE209" w:rsidR="002B417D" w:rsidRDefault="002B417D" w:rsidP="00EC31DA">
      <w:pPr>
        <w:pStyle w:val="Textoindependiente"/>
        <w:spacing w:before="2" w:line="276" w:lineRule="auto"/>
        <w:jc w:val="both"/>
        <w:rPr>
          <w:rFonts w:ascii="Arial" w:hAnsi="Arial" w:cs="Arial"/>
        </w:rPr>
      </w:pPr>
    </w:p>
    <w:p w14:paraId="7B31A957" w14:textId="77777777" w:rsidR="002B417D" w:rsidRPr="00042155" w:rsidRDefault="002B417D" w:rsidP="00EC31DA">
      <w:pPr>
        <w:pStyle w:val="Textoindependiente"/>
        <w:spacing w:before="2" w:line="276" w:lineRule="auto"/>
        <w:jc w:val="both"/>
        <w:rPr>
          <w:rFonts w:ascii="Arial" w:hAnsi="Arial" w:cs="Arial"/>
        </w:rPr>
      </w:pPr>
    </w:p>
    <w:p w14:paraId="0006D319" w14:textId="3B3A6152" w:rsidR="002D214A" w:rsidRDefault="002D214A" w:rsidP="002D214A">
      <w:pPr>
        <w:jc w:val="center"/>
        <w:rPr>
          <w:rFonts w:ascii="Arial" w:hAnsi="Arial" w:cs="Arial"/>
          <w:b/>
        </w:rPr>
      </w:pPr>
      <w:r w:rsidRPr="003B0A00">
        <w:rPr>
          <w:rFonts w:ascii="Arial" w:hAnsi="Arial" w:cs="Arial"/>
          <w:b/>
        </w:rPr>
        <w:t>CUADRO COMPARATIVO</w:t>
      </w:r>
    </w:p>
    <w:p w14:paraId="49B46439" w14:textId="77777777" w:rsidR="002B417D" w:rsidRDefault="002B417D" w:rsidP="002D214A">
      <w:pPr>
        <w:jc w:val="center"/>
        <w:rPr>
          <w:rFonts w:ascii="Arial" w:hAnsi="Arial" w:cs="Arial"/>
          <w:b/>
        </w:rPr>
      </w:pPr>
    </w:p>
    <w:p w14:paraId="5F499C2E" w14:textId="77777777" w:rsidR="002D214A" w:rsidRPr="003B0A00" w:rsidRDefault="002D214A" w:rsidP="002D214A">
      <w:pPr>
        <w:jc w:val="center"/>
        <w:rPr>
          <w:rFonts w:ascii="Arial" w:hAnsi="Arial" w:cs="Arial"/>
          <w:b/>
        </w:rPr>
      </w:pPr>
    </w:p>
    <w:p w14:paraId="25F96C20" w14:textId="3E44372D" w:rsidR="00B2647D" w:rsidRPr="003B0A00" w:rsidRDefault="00B2647D" w:rsidP="00E2420A">
      <w:pPr>
        <w:widowControl/>
        <w:autoSpaceDE/>
        <w:autoSpaceDN/>
        <w:jc w:val="both"/>
        <w:rPr>
          <w:rFonts w:ascii="Arial" w:hAnsi="Arial" w:cs="Arial"/>
          <w:sz w:val="24"/>
        </w:rPr>
      </w:pPr>
      <w:r>
        <w:rPr>
          <w:rFonts w:ascii="Arial" w:hAnsi="Arial" w:cs="Arial"/>
          <w:b/>
        </w:rPr>
        <w:t xml:space="preserve">EL </w:t>
      </w:r>
      <w:r w:rsidRPr="00282183">
        <w:rPr>
          <w:rFonts w:ascii="Arial" w:hAnsi="Arial" w:cs="Arial"/>
          <w:b/>
        </w:rPr>
        <w:t>ARTÍCULO</w:t>
      </w:r>
      <w:r w:rsidRPr="00CF77B6">
        <w:rPr>
          <w:rFonts w:ascii="Arial" w:hAnsi="Arial" w:cs="Arial"/>
          <w:b/>
        </w:rPr>
        <w:t xml:space="preserve"> </w:t>
      </w:r>
      <w:r w:rsidR="00520EB3" w:rsidRPr="00BC13B3">
        <w:rPr>
          <w:rFonts w:ascii="Arial" w:hAnsi="Arial" w:cs="Arial"/>
          <w:b/>
        </w:rPr>
        <w:t>6.225</w:t>
      </w:r>
      <w:r w:rsidR="000A2B4C">
        <w:rPr>
          <w:rFonts w:ascii="Arial" w:hAnsi="Arial" w:cs="Arial"/>
          <w:b/>
        </w:rPr>
        <w:t xml:space="preserve"> y 6.227 </w:t>
      </w:r>
      <w:r>
        <w:rPr>
          <w:rFonts w:ascii="Arial" w:hAnsi="Arial" w:cs="Arial"/>
          <w:b/>
        </w:rPr>
        <w:t xml:space="preserve">DEL </w:t>
      </w:r>
      <w:r w:rsidR="004C671C" w:rsidRPr="004E5425">
        <w:rPr>
          <w:rFonts w:ascii="Arial" w:hAnsi="Arial" w:cs="Arial"/>
          <w:b/>
        </w:rPr>
        <w:t>CAPITULO IV</w:t>
      </w:r>
      <w:r w:rsidR="004C671C">
        <w:rPr>
          <w:rFonts w:ascii="Arial" w:hAnsi="Arial" w:cs="Arial"/>
          <w:b/>
        </w:rPr>
        <w:t xml:space="preserve"> </w:t>
      </w:r>
      <w:r w:rsidR="004C671C" w:rsidRPr="004E5425">
        <w:rPr>
          <w:rFonts w:ascii="Arial" w:hAnsi="Arial" w:cs="Arial"/>
          <w:b/>
        </w:rPr>
        <w:t>DE LOS ALBACEAS E INTERVENTORES</w:t>
      </w:r>
      <w:r>
        <w:rPr>
          <w:rFonts w:ascii="Arial" w:hAnsi="Arial" w:cs="Arial"/>
          <w:b/>
        </w:rPr>
        <w:t>, DEL CÓDIGO CIVIL DEL ESTADO DE MÉXICO.</w:t>
      </w:r>
    </w:p>
    <w:p w14:paraId="22C40CC4" w14:textId="2875CBF4" w:rsidR="002D214A" w:rsidRDefault="002D214A" w:rsidP="002D214A">
      <w:pPr>
        <w:jc w:val="both"/>
        <w:rPr>
          <w:rFonts w:ascii="Arial" w:hAnsi="Arial" w:cs="Arial"/>
          <w:b/>
        </w:rPr>
      </w:pPr>
    </w:p>
    <w:p w14:paraId="1A405ADB" w14:textId="77777777" w:rsidR="002B417D" w:rsidRPr="003B0A00" w:rsidRDefault="002B417D" w:rsidP="002D214A">
      <w:pPr>
        <w:jc w:val="both"/>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2D214A" w:rsidRPr="003B0A00" w14:paraId="5E4E63AA" w14:textId="77777777" w:rsidTr="00891C29">
        <w:tc>
          <w:tcPr>
            <w:tcW w:w="4414" w:type="dxa"/>
          </w:tcPr>
          <w:p w14:paraId="562A714D" w14:textId="77777777" w:rsidR="002D214A" w:rsidRPr="003B0A00" w:rsidRDefault="002D214A" w:rsidP="00985BE8">
            <w:pPr>
              <w:jc w:val="center"/>
              <w:rPr>
                <w:rFonts w:ascii="Arial" w:hAnsi="Arial" w:cs="Arial"/>
                <w:b/>
              </w:rPr>
            </w:pPr>
            <w:r w:rsidRPr="003B0A00">
              <w:rPr>
                <w:rFonts w:ascii="Arial" w:hAnsi="Arial" w:cs="Arial"/>
                <w:b/>
              </w:rPr>
              <w:t>TEXTO VIGENTE</w:t>
            </w:r>
          </w:p>
        </w:tc>
        <w:tc>
          <w:tcPr>
            <w:tcW w:w="4414" w:type="dxa"/>
          </w:tcPr>
          <w:p w14:paraId="3549765B" w14:textId="77777777" w:rsidR="002D214A" w:rsidRPr="003B0A00" w:rsidRDefault="002D214A" w:rsidP="00985BE8">
            <w:pPr>
              <w:jc w:val="center"/>
              <w:rPr>
                <w:rFonts w:ascii="Arial" w:hAnsi="Arial" w:cs="Arial"/>
                <w:b/>
              </w:rPr>
            </w:pPr>
            <w:r w:rsidRPr="003B0A00">
              <w:rPr>
                <w:rFonts w:ascii="Arial" w:hAnsi="Arial" w:cs="Arial"/>
                <w:b/>
              </w:rPr>
              <w:t>MODIFICACIÓN AL TEXTO PROPUESTO</w:t>
            </w:r>
          </w:p>
        </w:tc>
      </w:tr>
      <w:tr w:rsidR="004670BC" w:rsidRPr="003B0A00" w14:paraId="40F9BB75" w14:textId="77777777" w:rsidTr="00891C29">
        <w:tc>
          <w:tcPr>
            <w:tcW w:w="4414" w:type="dxa"/>
          </w:tcPr>
          <w:p w14:paraId="00524C1A" w14:textId="77777777" w:rsidR="004E5425" w:rsidRPr="00042155" w:rsidRDefault="004E5425" w:rsidP="004E5425">
            <w:pPr>
              <w:rPr>
                <w:rFonts w:ascii="Arial" w:hAnsi="Arial" w:cs="Arial"/>
                <w:b/>
                <w:w w:val="95"/>
              </w:rPr>
            </w:pPr>
            <w:r w:rsidRPr="00042155">
              <w:rPr>
                <w:rFonts w:ascii="Arial" w:hAnsi="Arial" w:cs="Arial"/>
                <w:b/>
                <w:w w:val="95"/>
              </w:rPr>
              <w:t>CAPITULO IV</w:t>
            </w:r>
          </w:p>
          <w:p w14:paraId="703E1EAA" w14:textId="77777777" w:rsidR="004E5425" w:rsidRPr="00042155" w:rsidRDefault="004E5425" w:rsidP="004E5425">
            <w:pPr>
              <w:rPr>
                <w:rFonts w:ascii="Arial" w:hAnsi="Arial" w:cs="Arial"/>
                <w:b/>
                <w:w w:val="95"/>
              </w:rPr>
            </w:pPr>
            <w:r w:rsidRPr="00042155">
              <w:rPr>
                <w:rFonts w:ascii="Arial" w:hAnsi="Arial" w:cs="Arial"/>
                <w:b/>
                <w:w w:val="95"/>
              </w:rPr>
              <w:t>De los Albaceas e Interventores</w:t>
            </w:r>
          </w:p>
          <w:p w14:paraId="1A2B59D2" w14:textId="77777777" w:rsidR="00B2647D" w:rsidRPr="00042155" w:rsidRDefault="00B2647D" w:rsidP="00B2647D">
            <w:pPr>
              <w:rPr>
                <w:rFonts w:ascii="Arial" w:hAnsi="Arial" w:cs="Arial"/>
                <w:w w:val="95"/>
              </w:rPr>
            </w:pPr>
          </w:p>
          <w:p w14:paraId="0C218B1C" w14:textId="77777777" w:rsidR="00A47B28" w:rsidRPr="00042155" w:rsidRDefault="00A47B28" w:rsidP="00042155">
            <w:pPr>
              <w:pStyle w:val="Textoindependiente"/>
              <w:spacing w:before="2"/>
              <w:jc w:val="both"/>
              <w:rPr>
                <w:rFonts w:ascii="Arial" w:hAnsi="Arial" w:cs="Arial"/>
                <w:w w:val="95"/>
                <w:sz w:val="22"/>
                <w:szCs w:val="22"/>
              </w:rPr>
            </w:pPr>
            <w:r w:rsidRPr="00042155">
              <w:rPr>
                <w:rFonts w:ascii="Arial" w:hAnsi="Arial" w:cs="Arial"/>
                <w:w w:val="95"/>
                <w:sz w:val="22"/>
                <w:szCs w:val="22"/>
              </w:rPr>
              <w:t xml:space="preserve">Derecho a la posesión de los bienes hereditarios por ministerio de ley </w:t>
            </w:r>
          </w:p>
          <w:p w14:paraId="7DE25F06" w14:textId="77777777" w:rsidR="00A47B28" w:rsidRPr="00956B74" w:rsidRDefault="00A47B28" w:rsidP="00A47B28">
            <w:pPr>
              <w:pStyle w:val="Textoindependiente"/>
              <w:spacing w:before="2" w:line="276" w:lineRule="auto"/>
              <w:jc w:val="both"/>
              <w:rPr>
                <w:rFonts w:ascii="Arial" w:hAnsi="Arial" w:cs="Arial"/>
                <w:w w:val="95"/>
              </w:rPr>
            </w:pPr>
          </w:p>
          <w:p w14:paraId="77C32DEC" w14:textId="77777777" w:rsidR="004670BC" w:rsidRDefault="00A47B28" w:rsidP="00A47B28">
            <w:pPr>
              <w:jc w:val="both"/>
              <w:rPr>
                <w:rFonts w:ascii="Arial" w:hAnsi="Arial" w:cs="Arial"/>
                <w:w w:val="95"/>
              </w:rPr>
            </w:pPr>
            <w:r w:rsidRPr="00956B74">
              <w:rPr>
                <w:rFonts w:ascii="Arial" w:hAnsi="Arial" w:cs="Arial"/>
                <w:b/>
                <w:w w:val="95"/>
              </w:rPr>
              <w:t>Artículo 6.225.-</w:t>
            </w:r>
            <w:r w:rsidRPr="00956B74">
              <w:rPr>
                <w:rFonts w:ascii="Arial" w:hAnsi="Arial" w:cs="Arial"/>
                <w:w w:val="95"/>
              </w:rPr>
              <w:t xml:space="preserve"> El derecho a la posesión de los bienes hereditarios se transmite por ministerio de la ley, a los herederos y a los albaceas generales, desde el momento de la muerte del autor de la herencia, salvo en el caso de la sociedad conyugal.</w:t>
            </w:r>
          </w:p>
          <w:p w14:paraId="5A22484D" w14:textId="77777777" w:rsidR="000A2B4C" w:rsidRDefault="000A2B4C" w:rsidP="00A47B28">
            <w:pPr>
              <w:jc w:val="both"/>
              <w:rPr>
                <w:rFonts w:ascii="Arial" w:hAnsi="Arial" w:cs="Arial"/>
              </w:rPr>
            </w:pPr>
          </w:p>
          <w:p w14:paraId="5D22E3DD" w14:textId="77777777" w:rsidR="000A2B4C" w:rsidRDefault="000A2B4C" w:rsidP="00A47B28">
            <w:pPr>
              <w:jc w:val="both"/>
              <w:rPr>
                <w:rFonts w:ascii="Arial" w:hAnsi="Arial" w:cs="Arial"/>
              </w:rPr>
            </w:pPr>
          </w:p>
          <w:p w14:paraId="0E72DA93" w14:textId="5E666026" w:rsidR="000A2B4C" w:rsidRDefault="000A2B4C" w:rsidP="00A47B28">
            <w:pPr>
              <w:jc w:val="both"/>
              <w:rPr>
                <w:rFonts w:ascii="Arial" w:hAnsi="Arial" w:cs="Arial"/>
              </w:rPr>
            </w:pPr>
            <w:r>
              <w:rPr>
                <w:rFonts w:ascii="Arial" w:hAnsi="Arial" w:cs="Arial"/>
              </w:rPr>
              <w:t>Sin correlativo</w:t>
            </w:r>
          </w:p>
          <w:p w14:paraId="6731094A" w14:textId="77777777" w:rsidR="000A2B4C" w:rsidRDefault="000A2B4C" w:rsidP="00A47B28">
            <w:pPr>
              <w:jc w:val="both"/>
              <w:rPr>
                <w:rFonts w:ascii="Arial" w:hAnsi="Arial" w:cs="Arial"/>
              </w:rPr>
            </w:pPr>
          </w:p>
          <w:p w14:paraId="71D63DE9" w14:textId="3C3BE83F" w:rsidR="000A2B4C" w:rsidRDefault="000A2B4C" w:rsidP="00A47B28">
            <w:pPr>
              <w:jc w:val="both"/>
              <w:rPr>
                <w:rFonts w:ascii="Arial" w:hAnsi="Arial" w:cs="Arial"/>
              </w:rPr>
            </w:pPr>
          </w:p>
          <w:p w14:paraId="61498CBB" w14:textId="5DA8C596" w:rsidR="000A2B4C" w:rsidRDefault="000A2B4C" w:rsidP="00A47B28">
            <w:pPr>
              <w:jc w:val="both"/>
              <w:rPr>
                <w:rFonts w:ascii="Arial" w:hAnsi="Arial" w:cs="Arial"/>
              </w:rPr>
            </w:pPr>
          </w:p>
          <w:p w14:paraId="396AA108" w14:textId="77777777" w:rsidR="000A2B4C" w:rsidRDefault="000A2B4C" w:rsidP="00A47B28">
            <w:pPr>
              <w:jc w:val="both"/>
              <w:rPr>
                <w:rFonts w:ascii="Arial" w:hAnsi="Arial" w:cs="Arial"/>
              </w:rPr>
            </w:pPr>
          </w:p>
          <w:p w14:paraId="00E3D39D" w14:textId="77777777" w:rsidR="000A2B4C" w:rsidRPr="00E2420A" w:rsidRDefault="000A2B4C" w:rsidP="000A2B4C">
            <w:pPr>
              <w:jc w:val="both"/>
              <w:rPr>
                <w:rFonts w:ascii="Arial" w:hAnsi="Arial" w:cs="Arial"/>
                <w:b/>
              </w:rPr>
            </w:pPr>
            <w:r w:rsidRPr="00E2420A">
              <w:rPr>
                <w:rFonts w:ascii="Arial" w:hAnsi="Arial" w:cs="Arial"/>
                <w:b/>
              </w:rPr>
              <w:t>Obligaciones del albacea general</w:t>
            </w:r>
          </w:p>
          <w:p w14:paraId="3F39E196" w14:textId="77777777" w:rsidR="000A2B4C" w:rsidRPr="000A2B4C" w:rsidRDefault="000A2B4C" w:rsidP="000A2B4C">
            <w:pPr>
              <w:jc w:val="both"/>
              <w:rPr>
                <w:rFonts w:ascii="Arial" w:hAnsi="Arial" w:cs="Arial"/>
                <w:b/>
              </w:rPr>
            </w:pPr>
          </w:p>
          <w:p w14:paraId="2A901023" w14:textId="77777777" w:rsidR="000A2B4C" w:rsidRPr="000A2B4C" w:rsidRDefault="000A2B4C" w:rsidP="000A2B4C">
            <w:pPr>
              <w:jc w:val="both"/>
              <w:rPr>
                <w:rFonts w:ascii="Arial" w:hAnsi="Arial" w:cs="Arial"/>
              </w:rPr>
            </w:pPr>
            <w:r w:rsidRPr="000A2B4C">
              <w:rPr>
                <w:rFonts w:ascii="Arial" w:hAnsi="Arial" w:cs="Arial"/>
                <w:b/>
              </w:rPr>
              <w:t>Artículo 6.227</w:t>
            </w:r>
            <w:r w:rsidRPr="000A2B4C">
              <w:rPr>
                <w:rFonts w:ascii="Arial" w:hAnsi="Arial" w:cs="Arial"/>
              </w:rPr>
              <w:t>.- Son obligaciones del albacea general:</w:t>
            </w:r>
          </w:p>
          <w:p w14:paraId="73C7C915" w14:textId="77777777" w:rsidR="000A2B4C" w:rsidRPr="000A2B4C" w:rsidRDefault="000A2B4C" w:rsidP="000A2B4C">
            <w:pPr>
              <w:jc w:val="both"/>
              <w:rPr>
                <w:rFonts w:ascii="Arial" w:hAnsi="Arial" w:cs="Arial"/>
              </w:rPr>
            </w:pPr>
          </w:p>
          <w:p w14:paraId="527A1793" w14:textId="77777777" w:rsidR="000A2B4C" w:rsidRPr="000A2B4C" w:rsidRDefault="000A2B4C" w:rsidP="000A2B4C">
            <w:pPr>
              <w:jc w:val="both"/>
              <w:rPr>
                <w:rFonts w:ascii="Arial" w:hAnsi="Arial" w:cs="Arial"/>
              </w:rPr>
            </w:pPr>
            <w:r w:rsidRPr="000A2B4C">
              <w:rPr>
                <w:rFonts w:ascii="Arial" w:hAnsi="Arial" w:cs="Arial"/>
              </w:rPr>
              <w:t>I. El aseguramiento de los bienes de la sucesión;</w:t>
            </w:r>
          </w:p>
          <w:p w14:paraId="30E74070" w14:textId="77777777" w:rsidR="000A2B4C" w:rsidRPr="000A2B4C" w:rsidRDefault="000A2B4C" w:rsidP="000A2B4C">
            <w:pPr>
              <w:jc w:val="both"/>
              <w:rPr>
                <w:rFonts w:ascii="Arial" w:hAnsi="Arial" w:cs="Arial"/>
              </w:rPr>
            </w:pPr>
          </w:p>
          <w:p w14:paraId="329FE0F4" w14:textId="77777777" w:rsidR="000A2B4C" w:rsidRPr="000A2B4C" w:rsidRDefault="000A2B4C" w:rsidP="000A2B4C">
            <w:pPr>
              <w:jc w:val="both"/>
              <w:rPr>
                <w:rFonts w:ascii="Arial" w:hAnsi="Arial" w:cs="Arial"/>
              </w:rPr>
            </w:pPr>
            <w:r w:rsidRPr="000A2B4C">
              <w:rPr>
                <w:rFonts w:ascii="Arial" w:hAnsi="Arial" w:cs="Arial"/>
              </w:rPr>
              <w:t>II. La formación de los inventarios y avalúos;</w:t>
            </w:r>
          </w:p>
          <w:p w14:paraId="3A85C96E" w14:textId="77777777" w:rsidR="000A2B4C" w:rsidRPr="000A2B4C" w:rsidRDefault="000A2B4C" w:rsidP="000A2B4C">
            <w:pPr>
              <w:jc w:val="both"/>
              <w:rPr>
                <w:rFonts w:ascii="Arial" w:hAnsi="Arial" w:cs="Arial"/>
              </w:rPr>
            </w:pPr>
          </w:p>
          <w:p w14:paraId="398D642B" w14:textId="77777777" w:rsidR="000A2B4C" w:rsidRPr="000A2B4C" w:rsidRDefault="000A2B4C" w:rsidP="000A2B4C">
            <w:pPr>
              <w:jc w:val="both"/>
              <w:rPr>
                <w:rFonts w:ascii="Arial" w:hAnsi="Arial" w:cs="Arial"/>
              </w:rPr>
            </w:pPr>
            <w:r w:rsidRPr="000A2B4C">
              <w:rPr>
                <w:rFonts w:ascii="Arial" w:hAnsi="Arial" w:cs="Arial"/>
              </w:rPr>
              <w:t>III. La administración de los bienes y la rendición de las cuentas del albaceazgo;</w:t>
            </w:r>
          </w:p>
          <w:p w14:paraId="00488BFC" w14:textId="77777777" w:rsidR="000A2B4C" w:rsidRPr="000A2B4C" w:rsidRDefault="000A2B4C" w:rsidP="000A2B4C">
            <w:pPr>
              <w:jc w:val="both"/>
              <w:rPr>
                <w:rFonts w:ascii="Arial" w:hAnsi="Arial" w:cs="Arial"/>
              </w:rPr>
            </w:pPr>
          </w:p>
          <w:p w14:paraId="7A2EE529" w14:textId="77777777" w:rsidR="000A2B4C" w:rsidRPr="000A2B4C" w:rsidRDefault="000A2B4C" w:rsidP="000A2B4C">
            <w:pPr>
              <w:jc w:val="both"/>
              <w:rPr>
                <w:rFonts w:ascii="Arial" w:hAnsi="Arial" w:cs="Arial"/>
              </w:rPr>
            </w:pPr>
            <w:r w:rsidRPr="000A2B4C">
              <w:rPr>
                <w:rFonts w:ascii="Arial" w:hAnsi="Arial" w:cs="Arial"/>
              </w:rPr>
              <w:t>IV. El pago de las deudas mortuorias, hereditarias y testamentarias;</w:t>
            </w:r>
          </w:p>
          <w:p w14:paraId="741A52F3" w14:textId="77777777" w:rsidR="000A2B4C" w:rsidRPr="000A2B4C" w:rsidRDefault="000A2B4C" w:rsidP="000A2B4C">
            <w:pPr>
              <w:jc w:val="both"/>
              <w:rPr>
                <w:rFonts w:ascii="Arial" w:hAnsi="Arial" w:cs="Arial"/>
              </w:rPr>
            </w:pPr>
          </w:p>
          <w:p w14:paraId="30ED22A6" w14:textId="77777777" w:rsidR="000A2B4C" w:rsidRPr="000A2B4C" w:rsidRDefault="000A2B4C" w:rsidP="000A2B4C">
            <w:pPr>
              <w:jc w:val="both"/>
              <w:rPr>
                <w:rFonts w:ascii="Arial" w:hAnsi="Arial" w:cs="Arial"/>
              </w:rPr>
            </w:pPr>
            <w:r w:rsidRPr="000A2B4C">
              <w:rPr>
                <w:rFonts w:ascii="Arial" w:hAnsi="Arial" w:cs="Arial"/>
              </w:rPr>
              <w:t>V. La partición y adjudicación de los bienes;</w:t>
            </w:r>
          </w:p>
          <w:p w14:paraId="14570337" w14:textId="77777777" w:rsidR="000A2B4C" w:rsidRPr="000A2B4C" w:rsidRDefault="000A2B4C" w:rsidP="000A2B4C">
            <w:pPr>
              <w:jc w:val="both"/>
              <w:rPr>
                <w:rFonts w:ascii="Arial" w:hAnsi="Arial" w:cs="Arial"/>
              </w:rPr>
            </w:pPr>
          </w:p>
          <w:p w14:paraId="6922FE57" w14:textId="77777777" w:rsidR="000A2B4C" w:rsidRPr="000A2B4C" w:rsidRDefault="000A2B4C" w:rsidP="000A2B4C">
            <w:pPr>
              <w:jc w:val="both"/>
              <w:rPr>
                <w:rFonts w:ascii="Arial" w:hAnsi="Arial" w:cs="Arial"/>
              </w:rPr>
            </w:pPr>
            <w:r w:rsidRPr="000A2B4C">
              <w:rPr>
                <w:rFonts w:ascii="Arial" w:hAnsi="Arial" w:cs="Arial"/>
              </w:rPr>
              <w:t>VI. La defensa, en juicio y fuera de él, de los bienes de la sucesión y de la validez del testamento;</w:t>
            </w:r>
          </w:p>
          <w:p w14:paraId="7E8433A2" w14:textId="77777777" w:rsidR="000A2B4C" w:rsidRPr="000A2B4C" w:rsidRDefault="000A2B4C" w:rsidP="000A2B4C">
            <w:pPr>
              <w:jc w:val="both"/>
              <w:rPr>
                <w:rFonts w:ascii="Arial" w:hAnsi="Arial" w:cs="Arial"/>
              </w:rPr>
            </w:pPr>
          </w:p>
          <w:p w14:paraId="30BDBA80" w14:textId="77777777" w:rsidR="000A2B4C" w:rsidRPr="000A2B4C" w:rsidRDefault="000A2B4C" w:rsidP="000A2B4C">
            <w:pPr>
              <w:jc w:val="both"/>
              <w:rPr>
                <w:rFonts w:ascii="Arial" w:hAnsi="Arial" w:cs="Arial"/>
              </w:rPr>
            </w:pPr>
            <w:r w:rsidRPr="000A2B4C">
              <w:rPr>
                <w:rFonts w:ascii="Arial" w:hAnsi="Arial" w:cs="Arial"/>
              </w:rPr>
              <w:t>VII. La de representar a la sucesión en los juicios;</w:t>
            </w:r>
          </w:p>
          <w:p w14:paraId="79A882A9" w14:textId="4C13691C" w:rsidR="000A2B4C" w:rsidRDefault="000A2B4C" w:rsidP="000A2B4C">
            <w:pPr>
              <w:jc w:val="both"/>
              <w:rPr>
                <w:rFonts w:ascii="Arial" w:hAnsi="Arial" w:cs="Arial"/>
              </w:rPr>
            </w:pPr>
          </w:p>
          <w:p w14:paraId="70646FAC" w14:textId="1DDA0B41" w:rsidR="000A2B4C" w:rsidRPr="003B0A00" w:rsidRDefault="000A2B4C" w:rsidP="007B6172">
            <w:pPr>
              <w:jc w:val="both"/>
              <w:rPr>
                <w:rFonts w:ascii="Arial" w:hAnsi="Arial" w:cs="Arial"/>
              </w:rPr>
            </w:pPr>
            <w:r w:rsidRPr="000A2B4C">
              <w:rPr>
                <w:rFonts w:ascii="Arial" w:hAnsi="Arial" w:cs="Arial"/>
              </w:rPr>
              <w:t>VIII. Las demás que le imponga la ley.</w:t>
            </w:r>
          </w:p>
        </w:tc>
        <w:tc>
          <w:tcPr>
            <w:tcW w:w="4414" w:type="dxa"/>
          </w:tcPr>
          <w:p w14:paraId="581D1B7C" w14:textId="77777777" w:rsidR="00AB3185" w:rsidRPr="00042155" w:rsidRDefault="00AB3185" w:rsidP="00042155">
            <w:pPr>
              <w:jc w:val="both"/>
              <w:rPr>
                <w:rFonts w:ascii="Arial" w:hAnsi="Arial" w:cs="Arial"/>
                <w:b/>
                <w:w w:val="95"/>
              </w:rPr>
            </w:pPr>
            <w:r w:rsidRPr="00042155">
              <w:rPr>
                <w:rFonts w:ascii="Arial" w:hAnsi="Arial" w:cs="Arial"/>
                <w:b/>
                <w:w w:val="95"/>
              </w:rPr>
              <w:t>CAPITULO IV</w:t>
            </w:r>
          </w:p>
          <w:p w14:paraId="6FB44394" w14:textId="77777777" w:rsidR="00AB3185" w:rsidRPr="00042155" w:rsidRDefault="00AB3185" w:rsidP="00042155">
            <w:pPr>
              <w:jc w:val="both"/>
              <w:rPr>
                <w:rFonts w:ascii="Arial" w:hAnsi="Arial" w:cs="Arial"/>
                <w:b/>
                <w:w w:val="95"/>
              </w:rPr>
            </w:pPr>
            <w:r w:rsidRPr="00042155">
              <w:rPr>
                <w:rFonts w:ascii="Arial" w:hAnsi="Arial" w:cs="Arial"/>
                <w:b/>
                <w:w w:val="95"/>
              </w:rPr>
              <w:t>De los Albaceas e Interventores</w:t>
            </w:r>
          </w:p>
          <w:p w14:paraId="7191754E" w14:textId="77777777" w:rsidR="00AB3185" w:rsidRPr="003B0A00" w:rsidRDefault="00AB3185" w:rsidP="00042155">
            <w:pPr>
              <w:jc w:val="both"/>
              <w:rPr>
                <w:rFonts w:ascii="Arial" w:hAnsi="Arial" w:cs="Arial"/>
                <w:b/>
              </w:rPr>
            </w:pPr>
          </w:p>
          <w:p w14:paraId="744E2AF1" w14:textId="77777777" w:rsidR="00AB3185" w:rsidRPr="00956B74" w:rsidRDefault="00AB3185" w:rsidP="00042155">
            <w:pPr>
              <w:jc w:val="both"/>
              <w:rPr>
                <w:rFonts w:ascii="Arial" w:hAnsi="Arial" w:cs="Arial"/>
                <w:w w:val="95"/>
              </w:rPr>
            </w:pPr>
            <w:r w:rsidRPr="00956B74">
              <w:rPr>
                <w:rFonts w:ascii="Arial" w:hAnsi="Arial" w:cs="Arial"/>
                <w:w w:val="95"/>
              </w:rPr>
              <w:t xml:space="preserve">Derecho a la posesión de los bienes hereditarios por ministerio de ley </w:t>
            </w:r>
          </w:p>
          <w:p w14:paraId="75D25842" w14:textId="77777777" w:rsidR="00AB3185" w:rsidRPr="00956B74" w:rsidRDefault="00AB3185" w:rsidP="00AB3185">
            <w:pPr>
              <w:pStyle w:val="Textoindependiente"/>
              <w:spacing w:before="2" w:line="276" w:lineRule="auto"/>
              <w:jc w:val="both"/>
              <w:rPr>
                <w:rFonts w:ascii="Arial" w:hAnsi="Arial" w:cs="Arial"/>
                <w:w w:val="95"/>
              </w:rPr>
            </w:pPr>
          </w:p>
          <w:p w14:paraId="2190CDCB" w14:textId="77777777" w:rsidR="004670BC" w:rsidRDefault="00AB3185" w:rsidP="00AB3185">
            <w:pPr>
              <w:jc w:val="both"/>
              <w:rPr>
                <w:rFonts w:ascii="Arial" w:hAnsi="Arial" w:cs="Arial"/>
                <w:w w:val="95"/>
              </w:rPr>
            </w:pPr>
            <w:r w:rsidRPr="00956B74">
              <w:rPr>
                <w:rFonts w:ascii="Arial" w:hAnsi="Arial" w:cs="Arial"/>
                <w:b/>
                <w:w w:val="95"/>
              </w:rPr>
              <w:t>Artículo 6.225.-</w:t>
            </w:r>
            <w:r w:rsidRPr="00956B74">
              <w:rPr>
                <w:rFonts w:ascii="Arial" w:hAnsi="Arial" w:cs="Arial"/>
                <w:w w:val="95"/>
              </w:rPr>
              <w:t xml:space="preserve"> El derecho a la posesión de los bienes hereditarios se transmite por ministerio de la ley, a los herederos y a los albaceas generales, desde el momento de la muerte del autor de la herencia, salvo en el caso de la sociedad conyugal.</w:t>
            </w:r>
          </w:p>
          <w:p w14:paraId="4B33BB4A" w14:textId="77777777" w:rsidR="008A0C2A" w:rsidRDefault="008A0C2A" w:rsidP="00AB3185">
            <w:pPr>
              <w:jc w:val="both"/>
              <w:rPr>
                <w:rFonts w:ascii="Arial" w:hAnsi="Arial" w:cs="Arial"/>
              </w:rPr>
            </w:pPr>
          </w:p>
          <w:p w14:paraId="1F3389F1" w14:textId="5ED41541" w:rsidR="00E2420A" w:rsidRDefault="00042155" w:rsidP="00E2420A">
            <w:pPr>
              <w:jc w:val="both"/>
              <w:rPr>
                <w:rFonts w:ascii="Arial" w:hAnsi="Arial" w:cs="Arial"/>
                <w:b/>
              </w:rPr>
            </w:pPr>
            <w:r w:rsidRPr="00042155">
              <w:rPr>
                <w:rFonts w:ascii="Arial" w:hAnsi="Arial" w:cs="Arial"/>
                <w:b/>
              </w:rPr>
              <w:t xml:space="preserve">Para la transmisión </w:t>
            </w:r>
            <w:r w:rsidR="00B8796B">
              <w:rPr>
                <w:rFonts w:ascii="Arial" w:hAnsi="Arial" w:cs="Arial"/>
                <w:b/>
              </w:rPr>
              <w:t>d</w:t>
            </w:r>
            <w:r w:rsidRPr="00042155">
              <w:rPr>
                <w:rFonts w:ascii="Arial" w:hAnsi="Arial" w:cs="Arial"/>
                <w:b/>
              </w:rPr>
              <w:t xml:space="preserve">e los bienes heredados, el albacea deberá </w:t>
            </w:r>
            <w:r w:rsidR="00E2420A">
              <w:rPr>
                <w:rFonts w:ascii="Arial" w:hAnsi="Arial" w:cs="Arial"/>
                <w:b/>
              </w:rPr>
              <w:t>cumplir con lo establecido en el artículo 6.227 fracción VIII</w:t>
            </w:r>
            <w:r w:rsidR="007B6172">
              <w:rPr>
                <w:rFonts w:ascii="Arial" w:hAnsi="Arial" w:cs="Arial"/>
                <w:b/>
              </w:rPr>
              <w:t>.</w:t>
            </w:r>
          </w:p>
          <w:p w14:paraId="7E2633CE" w14:textId="77777777" w:rsidR="00E2420A" w:rsidRDefault="00E2420A" w:rsidP="00E2420A">
            <w:pPr>
              <w:jc w:val="both"/>
              <w:rPr>
                <w:rFonts w:ascii="Arial" w:hAnsi="Arial" w:cs="Arial"/>
                <w:b/>
              </w:rPr>
            </w:pPr>
          </w:p>
          <w:p w14:paraId="49C5FF11" w14:textId="77777777" w:rsidR="00E2420A" w:rsidRDefault="00E2420A" w:rsidP="00E2420A">
            <w:pPr>
              <w:jc w:val="both"/>
              <w:rPr>
                <w:rFonts w:ascii="Arial" w:hAnsi="Arial" w:cs="Arial"/>
                <w:b/>
              </w:rPr>
            </w:pPr>
          </w:p>
          <w:p w14:paraId="37AB33F2" w14:textId="4BD70A23" w:rsidR="00E2420A" w:rsidRPr="00E2420A" w:rsidRDefault="00E2420A" w:rsidP="00E2420A">
            <w:pPr>
              <w:jc w:val="both"/>
              <w:rPr>
                <w:rFonts w:ascii="Arial" w:hAnsi="Arial" w:cs="Arial"/>
                <w:b/>
              </w:rPr>
            </w:pPr>
            <w:r w:rsidRPr="00E2420A">
              <w:rPr>
                <w:rFonts w:ascii="Arial" w:hAnsi="Arial" w:cs="Arial"/>
                <w:b/>
              </w:rPr>
              <w:t>Obligaciones del albacea general</w:t>
            </w:r>
          </w:p>
          <w:p w14:paraId="2C863093" w14:textId="77777777" w:rsidR="000A2B4C" w:rsidRDefault="000A2B4C" w:rsidP="00042155">
            <w:pPr>
              <w:jc w:val="both"/>
              <w:rPr>
                <w:rFonts w:ascii="Arial" w:hAnsi="Arial" w:cs="Arial"/>
                <w:b/>
              </w:rPr>
            </w:pPr>
          </w:p>
          <w:p w14:paraId="2239F6D1" w14:textId="77777777" w:rsidR="00E2420A" w:rsidRPr="000A2B4C" w:rsidRDefault="00E2420A" w:rsidP="00E2420A">
            <w:pPr>
              <w:jc w:val="both"/>
              <w:rPr>
                <w:rFonts w:ascii="Arial" w:hAnsi="Arial" w:cs="Arial"/>
              </w:rPr>
            </w:pPr>
            <w:r w:rsidRPr="000A2B4C">
              <w:rPr>
                <w:rFonts w:ascii="Arial" w:hAnsi="Arial" w:cs="Arial"/>
                <w:b/>
              </w:rPr>
              <w:t>Artículo 6.227</w:t>
            </w:r>
            <w:r w:rsidRPr="000A2B4C">
              <w:rPr>
                <w:rFonts w:ascii="Arial" w:hAnsi="Arial" w:cs="Arial"/>
              </w:rPr>
              <w:t>.- Son obligaciones del albacea general:</w:t>
            </w:r>
          </w:p>
          <w:p w14:paraId="24BE7EAD" w14:textId="77777777" w:rsidR="00E2420A" w:rsidRPr="000A2B4C" w:rsidRDefault="00E2420A" w:rsidP="00E2420A">
            <w:pPr>
              <w:jc w:val="both"/>
              <w:rPr>
                <w:rFonts w:ascii="Arial" w:hAnsi="Arial" w:cs="Arial"/>
              </w:rPr>
            </w:pPr>
          </w:p>
          <w:p w14:paraId="76AD024A" w14:textId="3BC5D1A3" w:rsidR="000A2B4C" w:rsidRPr="00E2420A" w:rsidRDefault="00E2420A" w:rsidP="00042155">
            <w:pPr>
              <w:jc w:val="both"/>
              <w:rPr>
                <w:rFonts w:ascii="Arial" w:hAnsi="Arial" w:cs="Arial"/>
              </w:rPr>
            </w:pPr>
            <w:r w:rsidRPr="00E2420A">
              <w:rPr>
                <w:rFonts w:ascii="Arial" w:hAnsi="Arial" w:cs="Arial"/>
              </w:rPr>
              <w:t>I a VII […]</w:t>
            </w:r>
          </w:p>
          <w:p w14:paraId="2F081D94" w14:textId="77777777" w:rsidR="00E2420A" w:rsidRPr="00E2420A" w:rsidRDefault="00E2420A" w:rsidP="00042155">
            <w:pPr>
              <w:jc w:val="both"/>
              <w:rPr>
                <w:rFonts w:ascii="Arial" w:hAnsi="Arial" w:cs="Arial"/>
              </w:rPr>
            </w:pPr>
          </w:p>
          <w:p w14:paraId="20303BB9" w14:textId="77777777" w:rsidR="00E2420A" w:rsidRDefault="00E2420A" w:rsidP="00E2420A">
            <w:pPr>
              <w:jc w:val="both"/>
              <w:rPr>
                <w:rFonts w:ascii="Arial" w:hAnsi="Arial" w:cs="Arial"/>
                <w:b/>
              </w:rPr>
            </w:pPr>
            <w:r w:rsidRPr="00E2420A">
              <w:rPr>
                <w:rFonts w:ascii="Arial" w:hAnsi="Arial" w:cs="Arial"/>
              </w:rPr>
              <w:t>VIII</w:t>
            </w:r>
            <w:r>
              <w:rPr>
                <w:rFonts w:ascii="Arial" w:hAnsi="Arial" w:cs="Arial"/>
              </w:rPr>
              <w:t xml:space="preserve"> </w:t>
            </w:r>
            <w:r w:rsidRPr="00B8796B">
              <w:rPr>
                <w:rFonts w:ascii="Arial" w:hAnsi="Arial" w:cs="Arial"/>
                <w:b/>
              </w:rPr>
              <w:t>A</w:t>
            </w:r>
            <w:r w:rsidRPr="00042155">
              <w:rPr>
                <w:rFonts w:ascii="Arial" w:hAnsi="Arial" w:cs="Arial"/>
                <w:b/>
              </w:rPr>
              <w:t>creditar por escrito el consentimiento de los herederos</w:t>
            </w:r>
            <w:r>
              <w:rPr>
                <w:rFonts w:ascii="Arial" w:hAnsi="Arial" w:cs="Arial"/>
                <w:b/>
              </w:rPr>
              <w:t>, p</w:t>
            </w:r>
            <w:r w:rsidRPr="00042155">
              <w:rPr>
                <w:rFonts w:ascii="Arial" w:hAnsi="Arial" w:cs="Arial"/>
                <w:b/>
              </w:rPr>
              <w:t>ara la transmisión de la posesión por ministerio de ley</w:t>
            </w:r>
            <w:r>
              <w:rPr>
                <w:rFonts w:ascii="Arial" w:hAnsi="Arial" w:cs="Arial"/>
                <w:b/>
              </w:rPr>
              <w:t>.</w:t>
            </w:r>
          </w:p>
          <w:p w14:paraId="09FEB0CD" w14:textId="77777777" w:rsidR="00E2420A" w:rsidRDefault="00E2420A" w:rsidP="00E2420A">
            <w:pPr>
              <w:jc w:val="both"/>
              <w:rPr>
                <w:rFonts w:ascii="Arial" w:hAnsi="Arial" w:cs="Arial"/>
                <w:b/>
              </w:rPr>
            </w:pPr>
          </w:p>
          <w:p w14:paraId="1AA4D7DB" w14:textId="2DFD3720" w:rsidR="00E2420A" w:rsidRPr="00E2420A" w:rsidRDefault="00E2420A" w:rsidP="00E2420A">
            <w:pPr>
              <w:jc w:val="both"/>
              <w:rPr>
                <w:rFonts w:ascii="Arial" w:hAnsi="Arial" w:cs="Arial"/>
              </w:rPr>
            </w:pPr>
            <w:r w:rsidRPr="00E2420A">
              <w:rPr>
                <w:rFonts w:ascii="Arial" w:hAnsi="Arial" w:cs="Arial"/>
              </w:rPr>
              <w:t>XIX</w:t>
            </w:r>
            <w:r>
              <w:rPr>
                <w:rFonts w:ascii="Arial" w:hAnsi="Arial" w:cs="Arial"/>
              </w:rPr>
              <w:t xml:space="preserve"> …</w:t>
            </w:r>
          </w:p>
        </w:tc>
      </w:tr>
    </w:tbl>
    <w:p w14:paraId="47995B9C" w14:textId="77777777" w:rsidR="002D214A" w:rsidRPr="003B0A00" w:rsidRDefault="002D214A" w:rsidP="002D214A">
      <w:pPr>
        <w:rPr>
          <w:rFonts w:ascii="Arial" w:hAnsi="Arial" w:cs="Arial"/>
        </w:rPr>
      </w:pPr>
    </w:p>
    <w:p w14:paraId="36FE76D8" w14:textId="77777777" w:rsidR="00330087" w:rsidRDefault="00330087" w:rsidP="00677C49">
      <w:pPr>
        <w:pStyle w:val="Textoindependiente"/>
        <w:spacing w:line="360" w:lineRule="auto"/>
        <w:ind w:right="115"/>
        <w:jc w:val="both"/>
        <w:rPr>
          <w:rFonts w:ascii="Arial" w:hAnsi="Arial" w:cs="Arial"/>
        </w:rPr>
      </w:pPr>
    </w:p>
    <w:p w14:paraId="2A9A0DFD" w14:textId="244019DB" w:rsidR="00D53D6F" w:rsidRDefault="008274F4" w:rsidP="00677C49">
      <w:pPr>
        <w:pStyle w:val="Textoindependiente"/>
        <w:spacing w:line="360" w:lineRule="auto"/>
        <w:ind w:right="115"/>
        <w:jc w:val="both"/>
        <w:rPr>
          <w:rFonts w:ascii="Arial" w:hAnsi="Arial" w:cs="Arial"/>
        </w:rPr>
      </w:pPr>
      <w:r w:rsidRPr="00042155">
        <w:rPr>
          <w:rFonts w:ascii="Arial" w:hAnsi="Arial" w:cs="Arial"/>
        </w:rPr>
        <w:t xml:space="preserve">Con esta reforma se pretende garantizar el </w:t>
      </w:r>
      <w:r w:rsidR="00B2647D" w:rsidRPr="00042155">
        <w:rPr>
          <w:rFonts w:ascii="Arial" w:hAnsi="Arial" w:cs="Arial"/>
        </w:rPr>
        <w:t>cumplimiento de</w:t>
      </w:r>
      <w:r w:rsidR="004C671C" w:rsidRPr="00042155">
        <w:rPr>
          <w:rFonts w:ascii="Arial" w:hAnsi="Arial" w:cs="Arial"/>
        </w:rPr>
        <w:t xml:space="preserve"> </w:t>
      </w:r>
      <w:r w:rsidR="00B2647D" w:rsidRPr="00042155">
        <w:rPr>
          <w:rFonts w:ascii="Arial" w:hAnsi="Arial" w:cs="Arial"/>
        </w:rPr>
        <w:t>l</w:t>
      </w:r>
      <w:r w:rsidR="004C671C" w:rsidRPr="00042155">
        <w:rPr>
          <w:rFonts w:ascii="Arial" w:hAnsi="Arial" w:cs="Arial"/>
        </w:rPr>
        <w:t xml:space="preserve">as obligaciones del albacea en los juicios  sucesorios y </w:t>
      </w:r>
      <w:r w:rsidR="00E2420A">
        <w:rPr>
          <w:rFonts w:ascii="Arial" w:hAnsi="Arial" w:cs="Arial"/>
        </w:rPr>
        <w:t xml:space="preserve">brindar certeza legal a los herederos para </w:t>
      </w:r>
      <w:r w:rsidR="004C671C" w:rsidRPr="00042155">
        <w:rPr>
          <w:rFonts w:ascii="Arial" w:hAnsi="Arial" w:cs="Arial"/>
        </w:rPr>
        <w:t>eliminar las posibles controversias que pudieran surgir por el uso y disfrute de los bienes que forman parte de los juicios, ya que el consentimiento de los herederos respecto a la posesión material de estos, facilita el di</w:t>
      </w:r>
      <w:r w:rsidR="00B8796B">
        <w:rPr>
          <w:rFonts w:ascii="Arial" w:hAnsi="Arial" w:cs="Arial"/>
        </w:rPr>
        <w:t>á</w:t>
      </w:r>
      <w:r w:rsidR="004C671C" w:rsidRPr="00042155">
        <w:rPr>
          <w:rFonts w:ascii="Arial" w:hAnsi="Arial" w:cs="Arial"/>
        </w:rPr>
        <w:t>logo y evita que las controversias perduren por años en el juicio a través de diversos incidentes de oposición que se evitaría propiciando mayor certeza jurídica a los herederos y al albacea.</w:t>
      </w:r>
    </w:p>
    <w:p w14:paraId="73177E18" w14:textId="3C12C349" w:rsidR="00856124" w:rsidRDefault="00856124" w:rsidP="00677C49">
      <w:pPr>
        <w:pStyle w:val="Textoindependiente"/>
        <w:spacing w:line="360" w:lineRule="auto"/>
        <w:ind w:right="115"/>
        <w:jc w:val="both"/>
        <w:rPr>
          <w:rFonts w:ascii="Arial" w:hAnsi="Arial" w:cs="Arial"/>
        </w:rPr>
      </w:pPr>
    </w:p>
    <w:p w14:paraId="1E92B1A8" w14:textId="77777777" w:rsidR="00677C49" w:rsidRDefault="00241202" w:rsidP="00241202">
      <w:pPr>
        <w:pStyle w:val="Textoindependiente"/>
        <w:jc w:val="both"/>
        <w:rPr>
          <w:rFonts w:ascii="Arial" w:hAnsi="Arial" w:cs="Arial"/>
        </w:rPr>
      </w:pPr>
      <w:r w:rsidRPr="00241202">
        <w:rPr>
          <w:rFonts w:ascii="Arial" w:hAnsi="Arial" w:cs="Arial"/>
        </w:rPr>
        <w:t>Por lo anterior expuesto, someto a consideración de esta Honorable Soberanía la siguiente:</w:t>
      </w:r>
    </w:p>
    <w:p w14:paraId="7CB64EFF" w14:textId="3DB77212" w:rsidR="000C654A" w:rsidRDefault="000C654A" w:rsidP="00241202">
      <w:pPr>
        <w:pStyle w:val="Textoindependiente"/>
        <w:jc w:val="both"/>
        <w:rPr>
          <w:rFonts w:ascii="Arial" w:hAnsi="Arial" w:cs="Arial"/>
        </w:rPr>
      </w:pPr>
      <w:bookmarkStart w:id="2" w:name="_Hlk95487143"/>
    </w:p>
    <w:p w14:paraId="4E5D7797" w14:textId="77777777" w:rsidR="002B417D" w:rsidRDefault="002B417D" w:rsidP="00241202">
      <w:pPr>
        <w:pStyle w:val="Textoindependiente"/>
        <w:jc w:val="both"/>
        <w:rPr>
          <w:rFonts w:ascii="Arial" w:hAnsi="Arial" w:cs="Arial"/>
        </w:rPr>
      </w:pPr>
    </w:p>
    <w:p w14:paraId="4B682725" w14:textId="77777777" w:rsidR="006D5A91" w:rsidRPr="00453A18" w:rsidRDefault="006D5A91" w:rsidP="006D5A91">
      <w:pPr>
        <w:pStyle w:val="Textoindependiente"/>
        <w:spacing w:line="360" w:lineRule="auto"/>
        <w:jc w:val="both"/>
        <w:rPr>
          <w:rFonts w:ascii="Arial" w:hAnsi="Arial" w:cs="Arial"/>
        </w:rPr>
      </w:pPr>
      <w:bookmarkStart w:id="3" w:name="_Hlk99035416"/>
      <w:bookmarkEnd w:id="2"/>
      <w:r w:rsidRPr="00453A18">
        <w:rPr>
          <w:rFonts w:ascii="Arial" w:hAnsi="Arial" w:cs="Arial"/>
        </w:rPr>
        <w:t>LA H. "LXI" LEGISLATURA EN EJERCICIO DE LAS FACULTADES QUE LE CONFIEREN LOS ARTÍCULOS 61 FRACCIÓN I DE LA CONSTITUCIÓN POLÍTICA DEL ESTADO LIBRE Y SOBERANO DE MÉXICO Y 38 FRACCIÓN IV DE LA LEY ORGÁNICA DEL PODER LEGISLATIVO DEL ESTADO LIBRE Y SOBERANO DE MÉXICO, HA TENIDO A BIEN EMITIR EL SIGUIENTE:</w:t>
      </w:r>
    </w:p>
    <w:bookmarkEnd w:id="3"/>
    <w:p w14:paraId="71304C7B" w14:textId="22F338CE" w:rsidR="002B417D" w:rsidRDefault="002B417D" w:rsidP="006D5A91">
      <w:pPr>
        <w:spacing w:line="360" w:lineRule="auto"/>
        <w:jc w:val="both"/>
        <w:rPr>
          <w:rFonts w:ascii="Arial" w:hAnsi="Arial" w:cs="Arial"/>
          <w:sz w:val="24"/>
          <w:szCs w:val="24"/>
          <w:lang w:val="es-MX"/>
        </w:rPr>
      </w:pPr>
    </w:p>
    <w:p w14:paraId="0E49C68F" w14:textId="2E6EFBCA" w:rsidR="006D5A91" w:rsidRPr="007B6172" w:rsidRDefault="000A0E28" w:rsidP="006D5A91">
      <w:pPr>
        <w:spacing w:line="360" w:lineRule="auto"/>
        <w:jc w:val="center"/>
        <w:rPr>
          <w:rFonts w:ascii="Arial" w:hAnsi="Arial" w:cs="Arial"/>
          <w:b/>
          <w:sz w:val="24"/>
          <w:szCs w:val="24"/>
          <w:lang w:val="es-MX"/>
        </w:rPr>
      </w:pPr>
      <w:r w:rsidRPr="007B6172">
        <w:rPr>
          <w:rFonts w:ascii="Arial" w:hAnsi="Arial" w:cs="Arial"/>
          <w:b/>
          <w:sz w:val="24"/>
          <w:szCs w:val="24"/>
          <w:lang w:val="es-MX"/>
        </w:rPr>
        <w:t>INICIATIVA CON PROYECTO DE DECRETO</w:t>
      </w:r>
      <w:r w:rsidR="006D5A91" w:rsidRPr="007B6172">
        <w:rPr>
          <w:rFonts w:ascii="Arial" w:hAnsi="Arial" w:cs="Arial"/>
          <w:b/>
          <w:sz w:val="24"/>
          <w:szCs w:val="24"/>
          <w:lang w:val="es-MX"/>
        </w:rPr>
        <w:t>:</w:t>
      </w:r>
    </w:p>
    <w:p w14:paraId="6A31D9FE" w14:textId="5B2201AA" w:rsidR="005748EE" w:rsidRDefault="005748EE" w:rsidP="006D5A91">
      <w:pPr>
        <w:spacing w:line="360" w:lineRule="auto"/>
        <w:jc w:val="both"/>
        <w:rPr>
          <w:rFonts w:ascii="Arial" w:hAnsi="Arial" w:cs="Arial"/>
          <w:sz w:val="24"/>
          <w:szCs w:val="24"/>
          <w:lang w:val="es-MX"/>
        </w:rPr>
      </w:pPr>
    </w:p>
    <w:p w14:paraId="42A6B9F7" w14:textId="77777777" w:rsidR="00330087" w:rsidRPr="00453A18" w:rsidRDefault="00330087" w:rsidP="006D5A91">
      <w:pPr>
        <w:spacing w:line="360" w:lineRule="auto"/>
        <w:jc w:val="both"/>
        <w:rPr>
          <w:rFonts w:ascii="Arial" w:hAnsi="Arial" w:cs="Arial"/>
          <w:sz w:val="24"/>
          <w:szCs w:val="24"/>
          <w:lang w:val="es-MX"/>
        </w:rPr>
      </w:pPr>
    </w:p>
    <w:p w14:paraId="70E555DF" w14:textId="25AE9897" w:rsidR="00BC13B3" w:rsidRPr="00BC13B3" w:rsidRDefault="006D5A91" w:rsidP="00BC13B3">
      <w:pPr>
        <w:spacing w:line="360" w:lineRule="auto"/>
        <w:jc w:val="both"/>
        <w:rPr>
          <w:rFonts w:ascii="Arial" w:hAnsi="Arial" w:cs="Arial"/>
        </w:rPr>
      </w:pPr>
      <w:r w:rsidRPr="00453A18">
        <w:rPr>
          <w:rFonts w:ascii="Arial" w:hAnsi="Arial" w:cs="Arial"/>
          <w:b/>
          <w:sz w:val="24"/>
          <w:szCs w:val="24"/>
          <w:lang w:val="es-MX"/>
        </w:rPr>
        <w:t>ÚNICO</w:t>
      </w:r>
      <w:r w:rsidRPr="00453A18">
        <w:rPr>
          <w:rFonts w:ascii="Arial" w:hAnsi="Arial" w:cs="Arial"/>
          <w:sz w:val="24"/>
          <w:szCs w:val="24"/>
          <w:lang w:val="es-MX"/>
        </w:rPr>
        <w:t xml:space="preserve">. </w:t>
      </w:r>
      <w:r>
        <w:rPr>
          <w:rFonts w:ascii="Arial" w:hAnsi="Arial" w:cs="Arial"/>
        </w:rPr>
        <w:t xml:space="preserve">Se </w:t>
      </w:r>
      <w:r w:rsidR="00042155">
        <w:rPr>
          <w:rFonts w:ascii="Arial" w:hAnsi="Arial" w:cs="Arial"/>
        </w:rPr>
        <w:t>adiciona</w:t>
      </w:r>
      <w:r w:rsidR="0044285E">
        <w:rPr>
          <w:rFonts w:ascii="Arial" w:hAnsi="Arial" w:cs="Arial"/>
        </w:rPr>
        <w:t xml:space="preserve"> un segundo párrafo</w:t>
      </w:r>
      <w:r w:rsidR="00042155">
        <w:rPr>
          <w:rFonts w:ascii="Arial" w:hAnsi="Arial" w:cs="Arial"/>
        </w:rPr>
        <w:t xml:space="preserve"> </w:t>
      </w:r>
      <w:r w:rsidR="0044285E">
        <w:rPr>
          <w:rFonts w:ascii="Arial" w:hAnsi="Arial" w:cs="Arial"/>
        </w:rPr>
        <w:t>a</w:t>
      </w:r>
      <w:r w:rsidR="00BC13B3">
        <w:rPr>
          <w:rFonts w:ascii="Arial" w:hAnsi="Arial" w:cs="Arial"/>
        </w:rPr>
        <w:t xml:space="preserve">l artículo </w:t>
      </w:r>
      <w:r w:rsidR="00BC13B3" w:rsidRPr="00BC13B3">
        <w:rPr>
          <w:rFonts w:ascii="Arial" w:hAnsi="Arial" w:cs="Arial"/>
        </w:rPr>
        <w:t xml:space="preserve">6.225, </w:t>
      </w:r>
      <w:r w:rsidR="007B6172" w:rsidRPr="007B6172">
        <w:rPr>
          <w:rFonts w:ascii="Arial" w:hAnsi="Arial" w:cs="Arial"/>
        </w:rPr>
        <w:t>y una fracción VIII recorriendo la subsecuente del artículo 6.227</w:t>
      </w:r>
      <w:r w:rsidR="007B6172">
        <w:rPr>
          <w:rFonts w:ascii="Arial" w:hAnsi="Arial" w:cs="Arial"/>
          <w:b/>
        </w:rPr>
        <w:t xml:space="preserve"> </w:t>
      </w:r>
      <w:r w:rsidR="00BC13B3">
        <w:rPr>
          <w:rFonts w:ascii="Arial" w:hAnsi="Arial" w:cs="Arial"/>
        </w:rPr>
        <w:t>del C</w:t>
      </w:r>
      <w:r w:rsidR="00BC13B3" w:rsidRPr="00BC13B3">
        <w:rPr>
          <w:rFonts w:ascii="Arial" w:hAnsi="Arial" w:cs="Arial"/>
        </w:rPr>
        <w:t>ap</w:t>
      </w:r>
      <w:r w:rsidR="00BC13B3">
        <w:rPr>
          <w:rFonts w:ascii="Arial" w:hAnsi="Arial" w:cs="Arial"/>
        </w:rPr>
        <w:t>í</w:t>
      </w:r>
      <w:r w:rsidR="00BC13B3" w:rsidRPr="00BC13B3">
        <w:rPr>
          <w:rFonts w:ascii="Arial" w:hAnsi="Arial" w:cs="Arial"/>
        </w:rPr>
        <w:t xml:space="preserve">tulo </w:t>
      </w:r>
      <w:r w:rsidR="00BC13B3">
        <w:rPr>
          <w:rFonts w:ascii="Arial" w:hAnsi="Arial" w:cs="Arial"/>
        </w:rPr>
        <w:t>IV,</w:t>
      </w:r>
      <w:r w:rsidR="00BC13B3" w:rsidRPr="00BC13B3">
        <w:rPr>
          <w:rFonts w:ascii="Arial" w:hAnsi="Arial" w:cs="Arial"/>
        </w:rPr>
        <w:t xml:space="preserve"> </w:t>
      </w:r>
      <w:r w:rsidR="00BC13B3">
        <w:rPr>
          <w:rFonts w:ascii="Arial" w:hAnsi="Arial" w:cs="Arial"/>
        </w:rPr>
        <w:t>D</w:t>
      </w:r>
      <w:r w:rsidR="00BC13B3" w:rsidRPr="00BC13B3">
        <w:rPr>
          <w:rFonts w:ascii="Arial" w:hAnsi="Arial" w:cs="Arial"/>
        </w:rPr>
        <w:t>e los albaceas e interventores</w:t>
      </w:r>
      <w:r w:rsidR="00CE6BF5">
        <w:rPr>
          <w:rFonts w:ascii="Arial" w:hAnsi="Arial" w:cs="Arial"/>
        </w:rPr>
        <w:t xml:space="preserve"> </w:t>
      </w:r>
      <w:r w:rsidR="00BC13B3" w:rsidRPr="00BC13B3">
        <w:rPr>
          <w:rFonts w:ascii="Arial" w:hAnsi="Arial" w:cs="Arial"/>
        </w:rPr>
        <w:t xml:space="preserve">del </w:t>
      </w:r>
      <w:r w:rsidR="00BC13B3">
        <w:rPr>
          <w:rFonts w:ascii="Arial" w:hAnsi="Arial" w:cs="Arial"/>
        </w:rPr>
        <w:t>C</w:t>
      </w:r>
      <w:r w:rsidR="00BC13B3" w:rsidRPr="00BC13B3">
        <w:rPr>
          <w:rFonts w:ascii="Arial" w:hAnsi="Arial" w:cs="Arial"/>
        </w:rPr>
        <w:t xml:space="preserve">ódigo </w:t>
      </w:r>
      <w:r w:rsidR="00BC13B3">
        <w:rPr>
          <w:rFonts w:ascii="Arial" w:hAnsi="Arial" w:cs="Arial"/>
        </w:rPr>
        <w:t>C</w:t>
      </w:r>
      <w:r w:rsidR="00BC13B3" w:rsidRPr="00BC13B3">
        <w:rPr>
          <w:rFonts w:ascii="Arial" w:hAnsi="Arial" w:cs="Arial"/>
        </w:rPr>
        <w:t xml:space="preserve">ivil del </w:t>
      </w:r>
      <w:r w:rsidR="00BC13B3">
        <w:rPr>
          <w:rFonts w:ascii="Arial" w:hAnsi="Arial" w:cs="Arial"/>
        </w:rPr>
        <w:t>E</w:t>
      </w:r>
      <w:r w:rsidR="00BC13B3" w:rsidRPr="00BC13B3">
        <w:rPr>
          <w:rFonts w:ascii="Arial" w:hAnsi="Arial" w:cs="Arial"/>
        </w:rPr>
        <w:t xml:space="preserve">stado de </w:t>
      </w:r>
      <w:r w:rsidR="00BC13B3">
        <w:rPr>
          <w:rFonts w:ascii="Arial" w:hAnsi="Arial" w:cs="Arial"/>
        </w:rPr>
        <w:t>M</w:t>
      </w:r>
      <w:r w:rsidR="00BC13B3" w:rsidRPr="00BC13B3">
        <w:rPr>
          <w:rFonts w:ascii="Arial" w:hAnsi="Arial" w:cs="Arial"/>
        </w:rPr>
        <w:t>éxico.</w:t>
      </w:r>
    </w:p>
    <w:p w14:paraId="291C32BD" w14:textId="33C45FEF" w:rsidR="00BC13B3" w:rsidRDefault="00BC13B3" w:rsidP="00BC13B3">
      <w:pPr>
        <w:spacing w:line="360" w:lineRule="auto"/>
        <w:jc w:val="both"/>
        <w:rPr>
          <w:rFonts w:ascii="Arial" w:hAnsi="Arial" w:cs="Arial"/>
        </w:rPr>
      </w:pPr>
    </w:p>
    <w:p w14:paraId="0FA133BC" w14:textId="77777777" w:rsidR="00330087" w:rsidRPr="00BC13B3" w:rsidRDefault="00330087" w:rsidP="00BC13B3">
      <w:pPr>
        <w:spacing w:line="360" w:lineRule="auto"/>
        <w:jc w:val="both"/>
        <w:rPr>
          <w:rFonts w:ascii="Arial" w:hAnsi="Arial" w:cs="Arial"/>
        </w:rPr>
      </w:pPr>
    </w:p>
    <w:p w14:paraId="5F7065E0" w14:textId="3234A5B0" w:rsidR="007B6172" w:rsidRDefault="007B6172" w:rsidP="007B6172">
      <w:pPr>
        <w:jc w:val="both"/>
        <w:rPr>
          <w:rFonts w:ascii="Arial" w:hAnsi="Arial" w:cs="Arial"/>
          <w:w w:val="95"/>
        </w:rPr>
      </w:pPr>
      <w:bookmarkStart w:id="4" w:name="_Hlk99035449"/>
      <w:r w:rsidRPr="00956B74">
        <w:rPr>
          <w:rFonts w:ascii="Arial" w:hAnsi="Arial" w:cs="Arial"/>
          <w:b/>
          <w:w w:val="95"/>
        </w:rPr>
        <w:t>Artículo 6.225.-</w:t>
      </w:r>
      <w:r w:rsidRPr="00956B74">
        <w:rPr>
          <w:rFonts w:ascii="Arial" w:hAnsi="Arial" w:cs="Arial"/>
          <w:w w:val="95"/>
        </w:rPr>
        <w:t xml:space="preserve"> </w:t>
      </w:r>
      <w:r>
        <w:rPr>
          <w:rFonts w:ascii="Arial" w:hAnsi="Arial" w:cs="Arial"/>
          <w:w w:val="95"/>
        </w:rPr>
        <w:t>…</w:t>
      </w:r>
    </w:p>
    <w:p w14:paraId="28C52DC7" w14:textId="2F79EF2E" w:rsidR="00B8796B" w:rsidRDefault="00B8796B" w:rsidP="007B6172">
      <w:pPr>
        <w:jc w:val="both"/>
        <w:rPr>
          <w:rFonts w:ascii="Arial" w:hAnsi="Arial" w:cs="Arial"/>
          <w:w w:val="95"/>
        </w:rPr>
      </w:pPr>
    </w:p>
    <w:p w14:paraId="73D980EA" w14:textId="77777777" w:rsidR="00B8796B" w:rsidRDefault="00B8796B" w:rsidP="007B6172">
      <w:pPr>
        <w:jc w:val="both"/>
        <w:rPr>
          <w:rFonts w:ascii="Arial" w:hAnsi="Arial" w:cs="Arial"/>
          <w:w w:val="95"/>
        </w:rPr>
      </w:pPr>
    </w:p>
    <w:p w14:paraId="0032A6C6" w14:textId="77777777" w:rsidR="00B8796B" w:rsidRDefault="00B8796B" w:rsidP="00B8796B">
      <w:pPr>
        <w:jc w:val="both"/>
        <w:rPr>
          <w:rFonts w:ascii="Arial" w:hAnsi="Arial" w:cs="Arial"/>
          <w:b/>
        </w:rPr>
      </w:pPr>
      <w:r w:rsidRPr="00042155">
        <w:rPr>
          <w:rFonts w:ascii="Arial" w:hAnsi="Arial" w:cs="Arial"/>
          <w:b/>
        </w:rPr>
        <w:t xml:space="preserve">Para la transmisión </w:t>
      </w:r>
      <w:r>
        <w:rPr>
          <w:rFonts w:ascii="Arial" w:hAnsi="Arial" w:cs="Arial"/>
          <w:b/>
        </w:rPr>
        <w:t>d</w:t>
      </w:r>
      <w:r w:rsidRPr="00042155">
        <w:rPr>
          <w:rFonts w:ascii="Arial" w:hAnsi="Arial" w:cs="Arial"/>
          <w:b/>
        </w:rPr>
        <w:t xml:space="preserve">e los bienes heredados, el albacea deberá </w:t>
      </w:r>
      <w:r>
        <w:rPr>
          <w:rFonts w:ascii="Arial" w:hAnsi="Arial" w:cs="Arial"/>
          <w:b/>
        </w:rPr>
        <w:t>cumplir con lo establecido en el artículo 6.227 fracción VIII.</w:t>
      </w:r>
    </w:p>
    <w:p w14:paraId="3F577336" w14:textId="77777777" w:rsidR="007B6172" w:rsidRDefault="007B6172" w:rsidP="007B6172">
      <w:pPr>
        <w:jc w:val="both"/>
        <w:rPr>
          <w:rFonts w:ascii="Arial" w:hAnsi="Arial" w:cs="Arial"/>
          <w:b/>
        </w:rPr>
      </w:pPr>
    </w:p>
    <w:p w14:paraId="244CE67B" w14:textId="77777777" w:rsidR="007B6172" w:rsidRDefault="007B6172" w:rsidP="007B6172">
      <w:pPr>
        <w:jc w:val="both"/>
        <w:rPr>
          <w:rFonts w:ascii="Arial" w:hAnsi="Arial" w:cs="Arial"/>
          <w:b/>
        </w:rPr>
      </w:pPr>
    </w:p>
    <w:p w14:paraId="79850E0C" w14:textId="364A79F5" w:rsidR="007B6172" w:rsidRDefault="007B6172" w:rsidP="007B6172">
      <w:pPr>
        <w:jc w:val="both"/>
        <w:rPr>
          <w:rFonts w:ascii="Arial" w:hAnsi="Arial" w:cs="Arial"/>
          <w:b/>
        </w:rPr>
      </w:pPr>
    </w:p>
    <w:p w14:paraId="62356A7E" w14:textId="4F033ECF" w:rsidR="00330087" w:rsidRDefault="00330087" w:rsidP="007B6172">
      <w:pPr>
        <w:jc w:val="both"/>
        <w:rPr>
          <w:rFonts w:ascii="Arial" w:hAnsi="Arial" w:cs="Arial"/>
          <w:b/>
        </w:rPr>
      </w:pPr>
    </w:p>
    <w:p w14:paraId="4A8D6A5C" w14:textId="77777777" w:rsidR="00330087" w:rsidRDefault="00330087" w:rsidP="007B6172">
      <w:pPr>
        <w:jc w:val="both"/>
        <w:rPr>
          <w:rFonts w:ascii="Arial" w:hAnsi="Arial" w:cs="Arial"/>
          <w:b/>
        </w:rPr>
      </w:pPr>
    </w:p>
    <w:p w14:paraId="0078E44A" w14:textId="1A10F35A" w:rsidR="007B6172" w:rsidRPr="000A2B4C" w:rsidRDefault="007B6172" w:rsidP="007B6172">
      <w:pPr>
        <w:widowControl/>
        <w:autoSpaceDE/>
        <w:autoSpaceDN/>
        <w:jc w:val="both"/>
        <w:rPr>
          <w:rFonts w:ascii="Arial" w:hAnsi="Arial" w:cs="Arial"/>
        </w:rPr>
      </w:pPr>
      <w:r w:rsidRPr="000A2B4C">
        <w:rPr>
          <w:rFonts w:ascii="Arial" w:hAnsi="Arial" w:cs="Arial"/>
          <w:b/>
        </w:rPr>
        <w:t>Artículo 6.227</w:t>
      </w:r>
      <w:r w:rsidRPr="000A2B4C">
        <w:rPr>
          <w:rFonts w:ascii="Arial" w:hAnsi="Arial" w:cs="Arial"/>
        </w:rPr>
        <w:t xml:space="preserve">.- </w:t>
      </w:r>
      <w:r>
        <w:rPr>
          <w:rFonts w:ascii="Arial" w:hAnsi="Arial" w:cs="Arial"/>
        </w:rPr>
        <w:t>…</w:t>
      </w:r>
    </w:p>
    <w:p w14:paraId="38DA9D29" w14:textId="77777777" w:rsidR="007B6172" w:rsidRPr="000A2B4C" w:rsidRDefault="007B6172" w:rsidP="007B6172">
      <w:pPr>
        <w:widowControl/>
        <w:autoSpaceDE/>
        <w:autoSpaceDN/>
        <w:jc w:val="both"/>
        <w:rPr>
          <w:rFonts w:ascii="Arial" w:hAnsi="Arial" w:cs="Arial"/>
        </w:rPr>
      </w:pPr>
    </w:p>
    <w:p w14:paraId="35CC032A" w14:textId="77777777" w:rsidR="007B6172" w:rsidRPr="00E2420A" w:rsidRDefault="007B6172" w:rsidP="007B6172">
      <w:pPr>
        <w:jc w:val="both"/>
        <w:rPr>
          <w:rFonts w:ascii="Arial" w:hAnsi="Arial" w:cs="Arial"/>
        </w:rPr>
      </w:pPr>
      <w:r w:rsidRPr="00E2420A">
        <w:rPr>
          <w:rFonts w:ascii="Arial" w:hAnsi="Arial" w:cs="Arial"/>
        </w:rPr>
        <w:t>I a VII […]</w:t>
      </w:r>
    </w:p>
    <w:p w14:paraId="6EA23C52" w14:textId="77777777" w:rsidR="007B6172" w:rsidRPr="00E2420A" w:rsidRDefault="007B6172" w:rsidP="007B6172">
      <w:pPr>
        <w:jc w:val="both"/>
        <w:rPr>
          <w:rFonts w:ascii="Arial" w:hAnsi="Arial" w:cs="Arial"/>
        </w:rPr>
      </w:pPr>
    </w:p>
    <w:p w14:paraId="60F0FC5D" w14:textId="1754735A" w:rsidR="007B6172" w:rsidRDefault="007B6172" w:rsidP="007B6172">
      <w:pPr>
        <w:jc w:val="both"/>
        <w:rPr>
          <w:rFonts w:ascii="Arial" w:hAnsi="Arial" w:cs="Arial"/>
          <w:b/>
        </w:rPr>
      </w:pPr>
      <w:r w:rsidRPr="00E2420A">
        <w:rPr>
          <w:rFonts w:ascii="Arial" w:hAnsi="Arial" w:cs="Arial"/>
        </w:rPr>
        <w:t>VIII</w:t>
      </w:r>
      <w:r>
        <w:rPr>
          <w:rFonts w:ascii="Arial" w:hAnsi="Arial" w:cs="Arial"/>
        </w:rPr>
        <w:t xml:space="preserve">. </w:t>
      </w:r>
      <w:r w:rsidRPr="007B6172">
        <w:rPr>
          <w:rFonts w:ascii="Arial" w:hAnsi="Arial" w:cs="Arial"/>
          <w:b/>
        </w:rPr>
        <w:t>A</w:t>
      </w:r>
      <w:r w:rsidRPr="00042155">
        <w:rPr>
          <w:rFonts w:ascii="Arial" w:hAnsi="Arial" w:cs="Arial"/>
          <w:b/>
        </w:rPr>
        <w:t>creditar por escrito el consentimiento de los herederos</w:t>
      </w:r>
      <w:r>
        <w:rPr>
          <w:rFonts w:ascii="Arial" w:hAnsi="Arial" w:cs="Arial"/>
          <w:b/>
        </w:rPr>
        <w:t>, p</w:t>
      </w:r>
      <w:r w:rsidRPr="00042155">
        <w:rPr>
          <w:rFonts w:ascii="Arial" w:hAnsi="Arial" w:cs="Arial"/>
          <w:b/>
        </w:rPr>
        <w:t>ara la transmisión de la posesión por ministerio de ley</w:t>
      </w:r>
      <w:r>
        <w:rPr>
          <w:rFonts w:ascii="Arial" w:hAnsi="Arial" w:cs="Arial"/>
          <w:b/>
        </w:rPr>
        <w:t>.</w:t>
      </w:r>
    </w:p>
    <w:p w14:paraId="180E6F41" w14:textId="77777777" w:rsidR="007B6172" w:rsidRDefault="007B6172" w:rsidP="007B6172">
      <w:pPr>
        <w:jc w:val="both"/>
        <w:rPr>
          <w:rFonts w:ascii="Arial" w:hAnsi="Arial" w:cs="Arial"/>
          <w:b/>
        </w:rPr>
      </w:pPr>
    </w:p>
    <w:p w14:paraId="57BBC2F9" w14:textId="7CCEC090" w:rsidR="00BC13B3" w:rsidRDefault="007B6172" w:rsidP="007B6172">
      <w:pPr>
        <w:spacing w:line="360" w:lineRule="auto"/>
        <w:rPr>
          <w:rFonts w:ascii="Arial" w:hAnsi="Arial" w:cs="Arial"/>
        </w:rPr>
      </w:pPr>
      <w:r w:rsidRPr="00E2420A">
        <w:rPr>
          <w:rFonts w:ascii="Arial" w:hAnsi="Arial" w:cs="Arial"/>
        </w:rPr>
        <w:t>XIX</w:t>
      </w:r>
      <w:r>
        <w:rPr>
          <w:rFonts w:ascii="Arial" w:hAnsi="Arial" w:cs="Arial"/>
        </w:rPr>
        <w:t xml:space="preserve"> …</w:t>
      </w:r>
    </w:p>
    <w:p w14:paraId="5EE0FA80" w14:textId="77777777" w:rsidR="00CE6BF5" w:rsidRDefault="00CE6BF5" w:rsidP="00042155">
      <w:pPr>
        <w:spacing w:line="360" w:lineRule="auto"/>
        <w:rPr>
          <w:rFonts w:ascii="Arial" w:hAnsi="Arial" w:cs="Arial"/>
        </w:rPr>
      </w:pPr>
    </w:p>
    <w:p w14:paraId="466B3AD5" w14:textId="77777777" w:rsidR="00B44E46" w:rsidRPr="00042155" w:rsidRDefault="00B44E46" w:rsidP="00042155">
      <w:pPr>
        <w:spacing w:line="360" w:lineRule="auto"/>
        <w:rPr>
          <w:rFonts w:ascii="Arial" w:hAnsi="Arial" w:cs="Arial"/>
        </w:rPr>
      </w:pPr>
    </w:p>
    <w:p w14:paraId="5933A1E6" w14:textId="77777777" w:rsidR="006D5A91" w:rsidRPr="00453A18" w:rsidRDefault="006D5A91" w:rsidP="006D5A91">
      <w:pPr>
        <w:pStyle w:val="Textoindependiente"/>
        <w:spacing w:line="360" w:lineRule="auto"/>
        <w:jc w:val="center"/>
        <w:rPr>
          <w:rFonts w:ascii="Arial" w:hAnsi="Arial" w:cs="Arial"/>
          <w:b/>
          <w:bCs/>
        </w:rPr>
      </w:pPr>
      <w:r w:rsidRPr="00453A18">
        <w:rPr>
          <w:rFonts w:ascii="Arial" w:hAnsi="Arial" w:cs="Arial"/>
          <w:b/>
          <w:bCs/>
        </w:rPr>
        <w:t>TRANSITORIOS</w:t>
      </w:r>
    </w:p>
    <w:p w14:paraId="2CD6CD6C" w14:textId="1584D6DE" w:rsidR="006D5A91" w:rsidRDefault="006D5A91" w:rsidP="006D5A91">
      <w:pPr>
        <w:pStyle w:val="Textoindependiente"/>
        <w:spacing w:line="360" w:lineRule="auto"/>
        <w:jc w:val="both"/>
        <w:rPr>
          <w:rFonts w:ascii="Arial" w:hAnsi="Arial" w:cs="Arial"/>
          <w:b/>
          <w:bCs/>
        </w:rPr>
      </w:pPr>
    </w:p>
    <w:p w14:paraId="2433C436" w14:textId="77777777" w:rsidR="005748EE" w:rsidRPr="00453A18" w:rsidRDefault="005748EE" w:rsidP="006D5A91">
      <w:pPr>
        <w:pStyle w:val="Textoindependiente"/>
        <w:spacing w:line="360" w:lineRule="auto"/>
        <w:jc w:val="both"/>
        <w:rPr>
          <w:rFonts w:ascii="Arial" w:hAnsi="Arial" w:cs="Arial"/>
          <w:b/>
          <w:bCs/>
        </w:rPr>
      </w:pPr>
    </w:p>
    <w:p w14:paraId="47936C0B" w14:textId="70FB22FB" w:rsidR="006D5A91" w:rsidRDefault="006D5A91" w:rsidP="006D5A91">
      <w:pPr>
        <w:pStyle w:val="Textoindependiente"/>
        <w:spacing w:line="360" w:lineRule="auto"/>
        <w:jc w:val="both"/>
        <w:rPr>
          <w:rFonts w:ascii="Arial" w:hAnsi="Arial" w:cs="Arial"/>
        </w:rPr>
      </w:pPr>
      <w:r w:rsidRPr="00453A18">
        <w:rPr>
          <w:rFonts w:ascii="Arial" w:hAnsi="Arial" w:cs="Arial"/>
          <w:b/>
          <w:bCs/>
        </w:rPr>
        <w:t>PRIMERO.</w:t>
      </w:r>
      <w:r w:rsidRPr="00453A18">
        <w:rPr>
          <w:rFonts w:ascii="Arial" w:hAnsi="Arial" w:cs="Arial"/>
        </w:rPr>
        <w:t xml:space="preserve"> Publíquese el presente Acuerdo en el periódico oficial “Gaceta del Gobierno” del Estado de México.</w:t>
      </w:r>
    </w:p>
    <w:p w14:paraId="6D79EF71" w14:textId="77777777" w:rsidR="005748EE" w:rsidRPr="00453A18" w:rsidRDefault="005748EE" w:rsidP="006D5A91">
      <w:pPr>
        <w:pStyle w:val="Textoindependiente"/>
        <w:spacing w:line="360" w:lineRule="auto"/>
        <w:jc w:val="both"/>
        <w:rPr>
          <w:rFonts w:ascii="Arial" w:hAnsi="Arial" w:cs="Arial"/>
        </w:rPr>
      </w:pPr>
    </w:p>
    <w:bookmarkEnd w:id="4"/>
    <w:p w14:paraId="2326969A" w14:textId="77777777" w:rsidR="0077151E" w:rsidRDefault="0077151E" w:rsidP="0077151E">
      <w:pPr>
        <w:pStyle w:val="Sinespaciado"/>
        <w:spacing w:line="360" w:lineRule="auto"/>
        <w:jc w:val="both"/>
        <w:rPr>
          <w:rFonts w:ascii="Arial" w:hAnsi="Arial" w:cs="Arial"/>
          <w:b/>
          <w:sz w:val="24"/>
          <w:szCs w:val="24"/>
        </w:rPr>
      </w:pPr>
      <w:r w:rsidRPr="004E2210">
        <w:rPr>
          <w:rFonts w:ascii="Arial" w:hAnsi="Arial" w:cs="Arial"/>
          <w:b/>
          <w:sz w:val="24"/>
          <w:szCs w:val="24"/>
        </w:rPr>
        <w:t>SEGUNDO</w:t>
      </w:r>
      <w:r>
        <w:rPr>
          <w:rFonts w:ascii="Arial" w:hAnsi="Arial" w:cs="Arial"/>
          <w:sz w:val="24"/>
          <w:szCs w:val="24"/>
        </w:rPr>
        <w:t>. El presente Decreto entrará en vigor al día siguiente de su publicación.</w:t>
      </w:r>
    </w:p>
    <w:p w14:paraId="35FD18F0" w14:textId="79E3B06B" w:rsidR="006D5A91" w:rsidRDefault="006D5A91" w:rsidP="006D5A91">
      <w:pPr>
        <w:spacing w:line="360" w:lineRule="auto"/>
        <w:jc w:val="both"/>
        <w:rPr>
          <w:rFonts w:ascii="Arial" w:hAnsi="Arial" w:cs="Arial"/>
          <w:b/>
          <w:sz w:val="24"/>
          <w:szCs w:val="24"/>
        </w:rPr>
      </w:pPr>
    </w:p>
    <w:p w14:paraId="2EF3E824" w14:textId="77777777" w:rsidR="005748EE" w:rsidRPr="00453A18" w:rsidRDefault="005748EE" w:rsidP="006D5A91">
      <w:pPr>
        <w:spacing w:line="360" w:lineRule="auto"/>
        <w:jc w:val="both"/>
        <w:rPr>
          <w:rFonts w:ascii="Arial" w:hAnsi="Arial" w:cs="Arial"/>
          <w:b/>
          <w:sz w:val="24"/>
          <w:szCs w:val="24"/>
        </w:rPr>
      </w:pPr>
    </w:p>
    <w:p w14:paraId="49B2826F" w14:textId="07861B61" w:rsidR="006D5A91" w:rsidRPr="00453A18" w:rsidRDefault="006D5A91" w:rsidP="006D5A91">
      <w:pPr>
        <w:spacing w:line="360" w:lineRule="auto"/>
        <w:jc w:val="both"/>
        <w:rPr>
          <w:rFonts w:ascii="Arial" w:hAnsi="Arial" w:cs="Arial"/>
          <w:sz w:val="24"/>
          <w:szCs w:val="24"/>
          <w:lang w:val="es-MX"/>
        </w:rPr>
      </w:pPr>
      <w:r w:rsidRPr="00453A18">
        <w:rPr>
          <w:rFonts w:ascii="Arial" w:hAnsi="Arial" w:cs="Arial"/>
          <w:sz w:val="24"/>
          <w:szCs w:val="24"/>
          <w:lang w:val="es-MX"/>
        </w:rPr>
        <w:t xml:space="preserve">Dado en el Palacio del Poder Legislativo, en la ciudad de Toluca de Lerdo, capital del Estado de México, a los </w:t>
      </w:r>
      <w:r w:rsidR="00330087">
        <w:rPr>
          <w:rFonts w:ascii="Arial" w:hAnsi="Arial" w:cs="Arial"/>
          <w:sz w:val="24"/>
          <w:szCs w:val="24"/>
          <w:lang w:val="es-MX"/>
        </w:rPr>
        <w:t>dieciséis</w:t>
      </w:r>
      <w:r w:rsidR="00833173">
        <w:rPr>
          <w:rFonts w:ascii="Arial" w:hAnsi="Arial" w:cs="Arial"/>
          <w:sz w:val="24"/>
          <w:szCs w:val="24"/>
          <w:lang w:val="es-MX"/>
        </w:rPr>
        <w:t xml:space="preserve"> </w:t>
      </w:r>
      <w:r w:rsidR="00BC13B3">
        <w:rPr>
          <w:rFonts w:ascii="Arial" w:hAnsi="Arial" w:cs="Arial"/>
          <w:sz w:val="24"/>
          <w:szCs w:val="24"/>
          <w:lang w:val="es-MX"/>
        </w:rPr>
        <w:t xml:space="preserve">días </w:t>
      </w:r>
      <w:r w:rsidRPr="00453A18">
        <w:rPr>
          <w:rFonts w:ascii="Arial" w:hAnsi="Arial" w:cs="Arial"/>
          <w:sz w:val="24"/>
          <w:szCs w:val="24"/>
          <w:lang w:val="es-MX"/>
        </w:rPr>
        <w:t xml:space="preserve">del mes de </w:t>
      </w:r>
      <w:r w:rsidR="00330087">
        <w:rPr>
          <w:rFonts w:ascii="Arial" w:hAnsi="Arial" w:cs="Arial"/>
          <w:sz w:val="24"/>
          <w:szCs w:val="24"/>
          <w:lang w:val="es-MX"/>
        </w:rPr>
        <w:t>septiembre</w:t>
      </w:r>
      <w:r w:rsidRPr="00453A18">
        <w:rPr>
          <w:rFonts w:ascii="Arial" w:hAnsi="Arial" w:cs="Arial"/>
          <w:sz w:val="24"/>
          <w:szCs w:val="24"/>
          <w:lang w:val="es-MX"/>
        </w:rPr>
        <w:t xml:space="preserve"> del año dos mil veintidós.</w:t>
      </w:r>
    </w:p>
    <w:p w14:paraId="6042AE98" w14:textId="77777777" w:rsidR="006D5A91" w:rsidRPr="00453A18" w:rsidRDefault="006D5A91" w:rsidP="006D5A91">
      <w:pPr>
        <w:spacing w:line="360" w:lineRule="auto"/>
        <w:jc w:val="both"/>
        <w:rPr>
          <w:rFonts w:ascii="Arial" w:hAnsi="Arial" w:cs="Arial"/>
          <w:sz w:val="24"/>
          <w:szCs w:val="24"/>
          <w:lang w:val="es-MX"/>
        </w:rPr>
      </w:pPr>
    </w:p>
    <w:p w14:paraId="6440CEE4" w14:textId="5E1D7CE0" w:rsidR="006D5A91" w:rsidRDefault="006D5A91" w:rsidP="006D5A91">
      <w:pPr>
        <w:spacing w:line="360" w:lineRule="auto"/>
        <w:jc w:val="both"/>
        <w:rPr>
          <w:rFonts w:ascii="Arial" w:hAnsi="Arial" w:cs="Arial"/>
          <w:sz w:val="24"/>
          <w:szCs w:val="24"/>
          <w:lang w:val="es-MX"/>
        </w:rPr>
      </w:pPr>
    </w:p>
    <w:p w14:paraId="2C4C8860" w14:textId="77777777" w:rsidR="005748EE" w:rsidRPr="00453A18" w:rsidRDefault="005748EE" w:rsidP="006D5A91">
      <w:pPr>
        <w:spacing w:line="360" w:lineRule="auto"/>
        <w:jc w:val="both"/>
        <w:rPr>
          <w:rFonts w:ascii="Arial" w:hAnsi="Arial" w:cs="Arial"/>
          <w:sz w:val="24"/>
          <w:szCs w:val="24"/>
          <w:lang w:val="es-MX"/>
        </w:rPr>
      </w:pPr>
    </w:p>
    <w:tbl>
      <w:tblPr>
        <w:tblW w:w="10065" w:type="dxa"/>
        <w:jc w:val="center"/>
        <w:tblCellMar>
          <w:left w:w="70" w:type="dxa"/>
          <w:right w:w="70" w:type="dxa"/>
        </w:tblCellMar>
        <w:tblLook w:val="04A0" w:firstRow="1" w:lastRow="0" w:firstColumn="1" w:lastColumn="0" w:noHBand="0" w:noVBand="1"/>
      </w:tblPr>
      <w:tblGrid>
        <w:gridCol w:w="9781"/>
        <w:gridCol w:w="284"/>
      </w:tblGrid>
      <w:tr w:rsidR="006D5A91" w:rsidRPr="00453A18" w14:paraId="6D5FFDA5" w14:textId="77777777" w:rsidTr="00067EAC">
        <w:trPr>
          <w:trHeight w:val="300"/>
          <w:jc w:val="center"/>
        </w:trPr>
        <w:tc>
          <w:tcPr>
            <w:tcW w:w="9781" w:type="dxa"/>
            <w:tcBorders>
              <w:top w:val="nil"/>
              <w:left w:val="nil"/>
              <w:bottom w:val="nil"/>
              <w:right w:val="nil"/>
            </w:tcBorders>
            <w:shd w:val="clear" w:color="auto" w:fill="auto"/>
            <w:noWrap/>
            <w:vAlign w:val="bottom"/>
            <w:hideMark/>
          </w:tcPr>
          <w:p w14:paraId="254DF5F1" w14:textId="77777777" w:rsidR="006D5A91" w:rsidRPr="00453A18" w:rsidRDefault="006D5A91" w:rsidP="008C56B4">
            <w:pPr>
              <w:widowControl/>
              <w:autoSpaceDE/>
              <w:autoSpaceDN/>
              <w:spacing w:line="276" w:lineRule="auto"/>
              <w:jc w:val="center"/>
              <w:rPr>
                <w:rFonts w:ascii="Arial" w:eastAsia="Times New Roman" w:hAnsi="Arial" w:cs="Arial"/>
                <w:b/>
                <w:color w:val="000000"/>
                <w:sz w:val="24"/>
                <w:szCs w:val="24"/>
                <w:lang w:val="es-MX" w:eastAsia="es-MX"/>
              </w:rPr>
            </w:pPr>
            <w:bookmarkStart w:id="5" w:name="_Hlk99035466"/>
          </w:p>
          <w:p w14:paraId="3AE0F4B8" w14:textId="77777777" w:rsidR="006D5A91" w:rsidRPr="00453A18" w:rsidRDefault="006D5A91" w:rsidP="008C56B4">
            <w:pPr>
              <w:widowControl/>
              <w:autoSpaceDE/>
              <w:autoSpaceDN/>
              <w:spacing w:line="276" w:lineRule="auto"/>
              <w:jc w:val="center"/>
              <w:rPr>
                <w:rFonts w:ascii="Arial" w:eastAsia="Times New Roman" w:hAnsi="Arial" w:cs="Arial"/>
                <w:b/>
                <w:color w:val="000000"/>
                <w:sz w:val="24"/>
                <w:szCs w:val="24"/>
                <w:lang w:val="es-MX" w:eastAsia="es-MX"/>
              </w:rPr>
            </w:pPr>
            <w:r w:rsidRPr="00453A18">
              <w:rPr>
                <w:rFonts w:ascii="Arial" w:eastAsia="Times New Roman" w:hAnsi="Arial" w:cs="Arial"/>
                <w:b/>
                <w:color w:val="000000"/>
                <w:sz w:val="24"/>
                <w:szCs w:val="24"/>
                <w:lang w:val="es-MX" w:eastAsia="es-MX"/>
              </w:rPr>
              <w:t>ATENTAMENTE</w:t>
            </w:r>
          </w:p>
          <w:p w14:paraId="63190C56" w14:textId="77777777" w:rsidR="006D5A91" w:rsidRPr="00453A18" w:rsidRDefault="006D5A91" w:rsidP="008C56B4">
            <w:pPr>
              <w:widowControl/>
              <w:autoSpaceDE/>
              <w:autoSpaceDN/>
              <w:spacing w:line="276" w:lineRule="auto"/>
              <w:jc w:val="center"/>
              <w:rPr>
                <w:rFonts w:ascii="Arial" w:eastAsia="Times New Roman" w:hAnsi="Arial" w:cs="Arial"/>
                <w:b/>
                <w:color w:val="000000"/>
                <w:sz w:val="24"/>
                <w:szCs w:val="24"/>
                <w:lang w:val="es-MX" w:eastAsia="es-MX"/>
              </w:rPr>
            </w:pPr>
          </w:p>
          <w:p w14:paraId="52FB22BF" w14:textId="77777777" w:rsidR="006D5A91" w:rsidRPr="00453A18" w:rsidRDefault="006D5A91" w:rsidP="008C56B4">
            <w:pPr>
              <w:widowControl/>
              <w:autoSpaceDE/>
              <w:autoSpaceDN/>
              <w:spacing w:line="276" w:lineRule="auto"/>
              <w:jc w:val="center"/>
              <w:rPr>
                <w:rFonts w:ascii="Arial" w:eastAsia="Times New Roman" w:hAnsi="Arial" w:cs="Arial"/>
                <w:b/>
                <w:color w:val="000000"/>
                <w:sz w:val="24"/>
                <w:szCs w:val="24"/>
                <w:lang w:val="es-MX" w:eastAsia="es-MX"/>
              </w:rPr>
            </w:pPr>
          </w:p>
          <w:p w14:paraId="0770DB9F" w14:textId="77777777" w:rsidR="006D5A91" w:rsidRPr="00453A18" w:rsidRDefault="006D5A91" w:rsidP="008C56B4">
            <w:pPr>
              <w:widowControl/>
              <w:autoSpaceDE/>
              <w:autoSpaceDN/>
              <w:spacing w:line="276" w:lineRule="auto"/>
              <w:jc w:val="center"/>
              <w:rPr>
                <w:rFonts w:ascii="Arial" w:eastAsia="Times New Roman" w:hAnsi="Arial" w:cs="Arial"/>
                <w:b/>
                <w:color w:val="000000"/>
                <w:sz w:val="24"/>
                <w:szCs w:val="24"/>
                <w:lang w:val="es-MX" w:eastAsia="es-MX"/>
              </w:rPr>
            </w:pPr>
          </w:p>
          <w:p w14:paraId="0FA61B43" w14:textId="77777777" w:rsidR="006D5A91" w:rsidRPr="00453A18" w:rsidRDefault="006D5A91" w:rsidP="008C56B4">
            <w:pPr>
              <w:widowControl/>
              <w:autoSpaceDE/>
              <w:autoSpaceDN/>
              <w:spacing w:line="276" w:lineRule="auto"/>
              <w:jc w:val="center"/>
              <w:rPr>
                <w:rFonts w:ascii="Arial" w:eastAsia="Times New Roman" w:hAnsi="Arial" w:cs="Arial"/>
                <w:b/>
                <w:color w:val="000000"/>
                <w:sz w:val="24"/>
                <w:szCs w:val="24"/>
                <w:lang w:val="es-MX" w:eastAsia="es-MX"/>
              </w:rPr>
            </w:pPr>
          </w:p>
          <w:p w14:paraId="72708B2A" w14:textId="77777777" w:rsidR="006D5A91" w:rsidRPr="00453A18" w:rsidRDefault="006D5A91" w:rsidP="008C56B4">
            <w:pPr>
              <w:widowControl/>
              <w:autoSpaceDE/>
              <w:autoSpaceDN/>
              <w:spacing w:line="276" w:lineRule="auto"/>
              <w:rPr>
                <w:rFonts w:ascii="Arial" w:eastAsia="Times New Roman" w:hAnsi="Arial" w:cs="Arial"/>
                <w:b/>
                <w:color w:val="000000"/>
                <w:sz w:val="24"/>
                <w:szCs w:val="24"/>
                <w:lang w:val="es-MX" w:eastAsia="es-MX"/>
              </w:rPr>
            </w:pPr>
          </w:p>
        </w:tc>
        <w:tc>
          <w:tcPr>
            <w:tcW w:w="284" w:type="dxa"/>
            <w:tcBorders>
              <w:top w:val="nil"/>
              <w:left w:val="nil"/>
              <w:bottom w:val="nil"/>
              <w:right w:val="nil"/>
            </w:tcBorders>
            <w:shd w:val="clear" w:color="auto" w:fill="auto"/>
            <w:noWrap/>
            <w:vAlign w:val="bottom"/>
          </w:tcPr>
          <w:p w14:paraId="4893E90A" w14:textId="77777777" w:rsidR="006D5A91" w:rsidRPr="00453A18" w:rsidRDefault="006D5A91" w:rsidP="008C56B4">
            <w:pPr>
              <w:widowControl/>
              <w:autoSpaceDE/>
              <w:autoSpaceDN/>
              <w:spacing w:line="276" w:lineRule="auto"/>
              <w:rPr>
                <w:rFonts w:ascii="Arial" w:eastAsia="Times New Roman" w:hAnsi="Arial" w:cs="Arial"/>
                <w:b/>
                <w:color w:val="000000"/>
                <w:sz w:val="24"/>
                <w:szCs w:val="24"/>
                <w:lang w:val="es-MX" w:eastAsia="es-MX"/>
              </w:rPr>
            </w:pPr>
          </w:p>
        </w:tc>
      </w:tr>
      <w:tr w:rsidR="006D5A91" w:rsidRPr="00453A18" w14:paraId="3D52299B" w14:textId="77777777" w:rsidTr="00067EAC">
        <w:trPr>
          <w:trHeight w:val="300"/>
          <w:jc w:val="center"/>
        </w:trPr>
        <w:tc>
          <w:tcPr>
            <w:tcW w:w="9781" w:type="dxa"/>
            <w:tcBorders>
              <w:top w:val="nil"/>
              <w:left w:val="nil"/>
              <w:bottom w:val="nil"/>
              <w:right w:val="nil"/>
            </w:tcBorders>
            <w:shd w:val="clear" w:color="auto" w:fill="auto"/>
            <w:noWrap/>
            <w:vAlign w:val="bottom"/>
            <w:hideMark/>
          </w:tcPr>
          <w:p w14:paraId="16929B0E" w14:textId="77777777" w:rsidR="006D5A91" w:rsidRPr="00453A18" w:rsidRDefault="006D5A91" w:rsidP="008C56B4">
            <w:pPr>
              <w:widowControl/>
              <w:autoSpaceDE/>
              <w:autoSpaceDN/>
              <w:spacing w:line="276" w:lineRule="auto"/>
              <w:jc w:val="center"/>
              <w:rPr>
                <w:rFonts w:ascii="Arial" w:eastAsia="Times New Roman" w:hAnsi="Arial" w:cs="Arial"/>
                <w:b/>
                <w:color w:val="000000"/>
                <w:sz w:val="24"/>
                <w:szCs w:val="24"/>
                <w:lang w:val="es-MX" w:eastAsia="es-MX"/>
              </w:rPr>
            </w:pPr>
            <w:r w:rsidRPr="00453A18">
              <w:rPr>
                <w:rFonts w:ascii="Arial" w:eastAsia="Times New Roman" w:hAnsi="Arial" w:cs="Arial"/>
                <w:b/>
                <w:color w:val="000000"/>
                <w:sz w:val="24"/>
                <w:szCs w:val="24"/>
                <w:lang w:val="es-MX" w:eastAsia="es-MX"/>
              </w:rPr>
              <w:t>DIP. RIGOBERTO VARGAS CERVANTES</w:t>
            </w:r>
          </w:p>
        </w:tc>
        <w:tc>
          <w:tcPr>
            <w:tcW w:w="284" w:type="dxa"/>
            <w:tcBorders>
              <w:top w:val="nil"/>
              <w:left w:val="nil"/>
              <w:bottom w:val="nil"/>
              <w:right w:val="nil"/>
            </w:tcBorders>
            <w:shd w:val="clear" w:color="auto" w:fill="auto"/>
            <w:noWrap/>
            <w:vAlign w:val="bottom"/>
          </w:tcPr>
          <w:p w14:paraId="11532229" w14:textId="1BF022FA" w:rsidR="006D5A91" w:rsidRPr="00453A18" w:rsidRDefault="006D5A91" w:rsidP="008C56B4">
            <w:pPr>
              <w:widowControl/>
              <w:autoSpaceDE/>
              <w:autoSpaceDN/>
              <w:spacing w:line="276" w:lineRule="auto"/>
              <w:jc w:val="center"/>
              <w:rPr>
                <w:rFonts w:ascii="Arial" w:eastAsia="Times New Roman" w:hAnsi="Arial" w:cs="Arial"/>
                <w:b/>
                <w:color w:val="000000"/>
                <w:sz w:val="24"/>
                <w:szCs w:val="24"/>
                <w:lang w:val="es-MX" w:eastAsia="es-MX"/>
              </w:rPr>
            </w:pPr>
          </w:p>
        </w:tc>
      </w:tr>
      <w:bookmarkEnd w:id="5"/>
    </w:tbl>
    <w:p w14:paraId="1412E751" w14:textId="77777777" w:rsidR="006D5A91" w:rsidRPr="00453A18" w:rsidRDefault="006D5A91" w:rsidP="006D5A91">
      <w:pPr>
        <w:spacing w:line="360" w:lineRule="auto"/>
        <w:rPr>
          <w:rFonts w:ascii="Arial" w:hAnsi="Arial" w:cs="Arial"/>
          <w:b/>
          <w:sz w:val="24"/>
          <w:szCs w:val="24"/>
          <w:lang w:val="es-MX"/>
        </w:rPr>
      </w:pPr>
    </w:p>
    <w:p w14:paraId="3440D742" w14:textId="77777777" w:rsidR="00241202" w:rsidRPr="00241202" w:rsidRDefault="00241202" w:rsidP="006D5A91">
      <w:pPr>
        <w:pStyle w:val="Textoindependiente"/>
        <w:jc w:val="both"/>
        <w:rPr>
          <w:rFonts w:ascii="Arial" w:hAnsi="Arial" w:cs="Arial"/>
          <w:b/>
          <w:sz w:val="22"/>
          <w:szCs w:val="22"/>
        </w:rPr>
      </w:pPr>
    </w:p>
    <w:sectPr w:rsidR="00241202" w:rsidRPr="00241202" w:rsidSect="005748EE">
      <w:headerReference w:type="default" r:id="rId8"/>
      <w:footerReference w:type="default" r:id="rId9"/>
      <w:pgSz w:w="12240" w:h="15840"/>
      <w:pgMar w:top="2552" w:right="1701" w:bottom="1979" w:left="1701" w:header="703" w:footer="1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4659" w14:textId="77777777" w:rsidR="001B0E7C" w:rsidRDefault="001B0E7C">
      <w:r>
        <w:separator/>
      </w:r>
    </w:p>
  </w:endnote>
  <w:endnote w:type="continuationSeparator" w:id="0">
    <w:p w14:paraId="03878F75" w14:textId="77777777" w:rsidR="001B0E7C" w:rsidRDefault="001B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724524"/>
      <w:docPartObj>
        <w:docPartGallery w:val="Page Numbers (Bottom of Page)"/>
        <w:docPartUnique/>
      </w:docPartObj>
    </w:sdtPr>
    <w:sdtEndPr/>
    <w:sdtContent>
      <w:p w14:paraId="20054C27" w14:textId="75FED1A0" w:rsidR="0088060B" w:rsidRDefault="0088060B">
        <w:pPr>
          <w:pStyle w:val="Piedepgina"/>
          <w:jc w:val="right"/>
        </w:pPr>
        <w:r>
          <w:fldChar w:fldCharType="begin"/>
        </w:r>
        <w:r>
          <w:instrText>PAGE   \* MERGEFORMAT</w:instrText>
        </w:r>
        <w:r>
          <w:fldChar w:fldCharType="separate"/>
        </w:r>
        <w:r>
          <w:t>2</w:t>
        </w:r>
        <w:r>
          <w:fldChar w:fldCharType="end"/>
        </w:r>
      </w:p>
    </w:sdtContent>
  </w:sdt>
  <w:p w14:paraId="4EED9A1C" w14:textId="6F6F6868" w:rsidR="00985BE8" w:rsidRDefault="00985BE8">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3BC98" w14:textId="77777777" w:rsidR="001B0E7C" w:rsidRDefault="001B0E7C">
      <w:r>
        <w:separator/>
      </w:r>
    </w:p>
  </w:footnote>
  <w:footnote w:type="continuationSeparator" w:id="0">
    <w:p w14:paraId="422B74C8" w14:textId="77777777" w:rsidR="001B0E7C" w:rsidRDefault="001B0E7C">
      <w:r>
        <w:continuationSeparator/>
      </w:r>
    </w:p>
  </w:footnote>
  <w:footnote w:id="1">
    <w:p w14:paraId="10F04F38" w14:textId="6FFCB442" w:rsidR="00266E01" w:rsidRPr="00E3560A" w:rsidRDefault="00266E01">
      <w:pPr>
        <w:pStyle w:val="Textonotapie"/>
        <w:rPr>
          <w:sz w:val="18"/>
          <w:szCs w:val="18"/>
          <w:lang w:val="es-MX"/>
        </w:rPr>
      </w:pPr>
      <w:r w:rsidRPr="00E3560A">
        <w:rPr>
          <w:rStyle w:val="Refdenotaalpie"/>
          <w:sz w:val="18"/>
          <w:szCs w:val="18"/>
        </w:rPr>
        <w:footnoteRef/>
      </w:r>
      <w:r w:rsidRPr="00E3560A">
        <w:rPr>
          <w:sz w:val="18"/>
          <w:szCs w:val="18"/>
        </w:rPr>
        <w:t xml:space="preserve"> </w:t>
      </w:r>
      <w:r w:rsidR="00D553EF" w:rsidRPr="00E3560A">
        <w:rPr>
          <w:sz w:val="18"/>
          <w:szCs w:val="18"/>
        </w:rPr>
        <w:t xml:space="preserve">Disponible en: </w:t>
      </w:r>
      <w:hyperlink r:id="rId1" w:history="1">
        <w:r w:rsidR="00E3560A" w:rsidRPr="00E3560A">
          <w:rPr>
            <w:rStyle w:val="Hipervnculo"/>
            <w:color w:val="000000" w:themeColor="text1"/>
            <w:sz w:val="18"/>
            <w:szCs w:val="18"/>
            <w:u w:val="none"/>
          </w:rPr>
          <w:t>https://archivos.juridicas.unam.mx/www/bjv/libros/8/3915/6.pdf</w:t>
        </w:r>
      </w:hyperlink>
      <w:r w:rsidR="00E3560A">
        <w:rPr>
          <w:sz w:val="18"/>
          <w:szCs w:val="18"/>
        </w:rPr>
        <w:t xml:space="preserve">  Consultado el 06/04/2022</w:t>
      </w:r>
    </w:p>
  </w:footnote>
  <w:footnote w:id="2">
    <w:p w14:paraId="4AD99C9E" w14:textId="77777777" w:rsidR="005748D4" w:rsidRPr="00E3560A" w:rsidRDefault="005748D4" w:rsidP="005748D4">
      <w:pPr>
        <w:pStyle w:val="Textonotapie"/>
        <w:rPr>
          <w:sz w:val="18"/>
          <w:szCs w:val="18"/>
          <w:lang w:val="es-MX"/>
        </w:rPr>
      </w:pPr>
      <w:r w:rsidRPr="00E3560A">
        <w:rPr>
          <w:rStyle w:val="Refdenotaalpie"/>
          <w:sz w:val="18"/>
          <w:szCs w:val="18"/>
        </w:rPr>
        <w:footnoteRef/>
      </w:r>
      <w:r w:rsidRPr="00E3560A">
        <w:rPr>
          <w:sz w:val="18"/>
          <w:szCs w:val="18"/>
        </w:rPr>
        <w:t xml:space="preserve"> </w:t>
      </w:r>
      <w:r w:rsidRPr="00E3560A">
        <w:rPr>
          <w:rFonts w:cs="Arial"/>
          <w:sz w:val="18"/>
          <w:szCs w:val="18"/>
        </w:rPr>
        <w:t>CORTS, citado en DE PINA, 2000: 63</w:t>
      </w:r>
    </w:p>
  </w:footnote>
  <w:footnote w:id="3">
    <w:p w14:paraId="7E5635C4" w14:textId="4484FD1F" w:rsidR="00227F1A" w:rsidRPr="00E3560A" w:rsidRDefault="00227F1A" w:rsidP="00D553EF">
      <w:pPr>
        <w:pStyle w:val="Textonotapie"/>
        <w:rPr>
          <w:sz w:val="18"/>
          <w:szCs w:val="18"/>
          <w:lang w:val="es-MX"/>
        </w:rPr>
      </w:pPr>
      <w:r w:rsidRPr="00E3560A">
        <w:rPr>
          <w:rStyle w:val="Refdenotaalpie"/>
          <w:sz w:val="18"/>
          <w:szCs w:val="18"/>
        </w:rPr>
        <w:footnoteRef/>
      </w:r>
      <w:r w:rsidR="00D553EF" w:rsidRPr="00E3560A">
        <w:rPr>
          <w:sz w:val="18"/>
          <w:szCs w:val="18"/>
        </w:rPr>
        <w:t xml:space="preserve"> Disponible en: </w:t>
      </w:r>
      <w:hyperlink r:id="rId2" w:history="1">
        <w:r w:rsidR="00E3560A" w:rsidRPr="00E3560A">
          <w:rPr>
            <w:rStyle w:val="Hipervnculo"/>
            <w:color w:val="000000" w:themeColor="text1"/>
            <w:sz w:val="18"/>
            <w:szCs w:val="18"/>
            <w:u w:val="none"/>
          </w:rPr>
          <w:t>https://legislacion.edomex.gob.mx/sites/legislacion.edomex.gob.mx/files/files/pdf/cod/vig/codvig001.pdf</w:t>
        </w:r>
      </w:hyperlink>
      <w:r w:rsidR="00E3560A">
        <w:rPr>
          <w:sz w:val="18"/>
          <w:szCs w:val="18"/>
        </w:rPr>
        <w:t xml:space="preserve">  Consultado el 07/04/2022</w:t>
      </w:r>
    </w:p>
  </w:footnote>
  <w:footnote w:id="4">
    <w:p w14:paraId="0B550925" w14:textId="43588D75" w:rsidR="00227F1A" w:rsidRPr="00227F1A" w:rsidRDefault="00227F1A" w:rsidP="00D553EF">
      <w:pPr>
        <w:pStyle w:val="Textonotapie"/>
        <w:jc w:val="both"/>
        <w:rPr>
          <w:lang w:val="es-MX"/>
        </w:rPr>
      </w:pPr>
      <w:r w:rsidRPr="00E3560A">
        <w:rPr>
          <w:rStyle w:val="Refdenotaalpie"/>
          <w:sz w:val="18"/>
          <w:szCs w:val="18"/>
        </w:rPr>
        <w:footnoteRef/>
      </w:r>
      <w:r w:rsidR="00D553EF" w:rsidRPr="00E3560A">
        <w:rPr>
          <w:sz w:val="18"/>
          <w:szCs w:val="18"/>
        </w:rPr>
        <w:t xml:space="preserve"> </w:t>
      </w:r>
      <w:proofErr w:type="spellStart"/>
      <w:r w:rsidR="00D553EF" w:rsidRPr="00E3560A">
        <w:rPr>
          <w:sz w:val="18"/>
          <w:szCs w:val="18"/>
        </w:rPr>
        <w:t>Ibídem</w:t>
      </w:r>
      <w:proofErr w:type="spellEnd"/>
      <w:r>
        <w:t xml:space="preserve"> </w:t>
      </w:r>
    </w:p>
  </w:footnote>
  <w:footnote w:id="5">
    <w:p w14:paraId="647662DF" w14:textId="2F7D02FC" w:rsidR="005748D4" w:rsidRPr="00E3560A" w:rsidRDefault="005748D4">
      <w:pPr>
        <w:pStyle w:val="Textonotapie"/>
        <w:rPr>
          <w:sz w:val="18"/>
          <w:szCs w:val="18"/>
          <w:lang w:val="es-MX"/>
        </w:rPr>
      </w:pPr>
      <w:r w:rsidRPr="00E3560A">
        <w:rPr>
          <w:rStyle w:val="Refdenotaalpie"/>
          <w:sz w:val="18"/>
          <w:szCs w:val="18"/>
        </w:rPr>
        <w:footnoteRef/>
      </w:r>
      <w:r w:rsidRPr="00E3560A">
        <w:rPr>
          <w:sz w:val="18"/>
          <w:szCs w:val="18"/>
        </w:rPr>
        <w:t xml:space="preserve"> </w:t>
      </w:r>
      <w:r w:rsidR="00D553EF" w:rsidRPr="00E3560A">
        <w:rPr>
          <w:sz w:val="18"/>
          <w:szCs w:val="18"/>
        </w:rPr>
        <w:t xml:space="preserve">Disponible en: </w:t>
      </w:r>
      <w:hyperlink r:id="rId3" w:history="1">
        <w:r w:rsidR="00E3560A" w:rsidRPr="00E3560A">
          <w:rPr>
            <w:rStyle w:val="Hipervnculo"/>
            <w:color w:val="000000" w:themeColor="text1"/>
            <w:sz w:val="18"/>
            <w:szCs w:val="18"/>
            <w:u w:val="none"/>
          </w:rPr>
          <w:t>http://www.internet2.scjn.gob.mx/red/constitucion/TI.html</w:t>
        </w:r>
      </w:hyperlink>
      <w:r w:rsidR="00E3560A">
        <w:rPr>
          <w:sz w:val="18"/>
          <w:szCs w:val="18"/>
        </w:rPr>
        <w:t xml:space="preserve">  Consultado el 05/04/2022</w:t>
      </w:r>
    </w:p>
  </w:footnote>
  <w:footnote w:id="6">
    <w:p w14:paraId="2873398C" w14:textId="54B4BAAA" w:rsidR="00130336" w:rsidRPr="00E3560A" w:rsidRDefault="00130336">
      <w:pPr>
        <w:pStyle w:val="Textonotapie"/>
        <w:rPr>
          <w:sz w:val="18"/>
          <w:szCs w:val="18"/>
          <w:lang w:val="es-MX"/>
        </w:rPr>
      </w:pPr>
      <w:r w:rsidRPr="00E3560A">
        <w:rPr>
          <w:rStyle w:val="Refdenotaalpie"/>
          <w:sz w:val="18"/>
          <w:szCs w:val="18"/>
        </w:rPr>
        <w:footnoteRef/>
      </w:r>
      <w:r w:rsidR="00D553EF" w:rsidRPr="00E3560A">
        <w:rPr>
          <w:sz w:val="18"/>
          <w:szCs w:val="18"/>
        </w:rPr>
        <w:t xml:space="preserve"> Disponible en: </w:t>
      </w:r>
      <w:hyperlink r:id="rId4" w:history="1">
        <w:r w:rsidR="00E3560A" w:rsidRPr="00E3560A">
          <w:rPr>
            <w:rStyle w:val="Hipervnculo"/>
            <w:color w:val="000000" w:themeColor="text1"/>
            <w:sz w:val="18"/>
            <w:szCs w:val="18"/>
            <w:u w:val="none"/>
          </w:rPr>
          <w:t>https://www.ohchr.org/sites/default/files/UDHR/Documents/UDHR_Translations/spn.pdf</w:t>
        </w:r>
      </w:hyperlink>
      <w:r w:rsidR="00E3560A">
        <w:rPr>
          <w:sz w:val="18"/>
          <w:szCs w:val="18"/>
        </w:rPr>
        <w:t xml:space="preserve">  Consultado el 07/04/2022</w:t>
      </w:r>
    </w:p>
  </w:footnote>
  <w:footnote w:id="7">
    <w:p w14:paraId="2A2D83AE" w14:textId="3464F738" w:rsidR="00130336" w:rsidRPr="00130336" w:rsidRDefault="00130336">
      <w:pPr>
        <w:pStyle w:val="Textonotapie"/>
        <w:rPr>
          <w:lang w:val="es-MX"/>
        </w:rPr>
      </w:pPr>
      <w:r w:rsidRPr="00E3560A">
        <w:rPr>
          <w:rStyle w:val="Refdenotaalpie"/>
          <w:sz w:val="18"/>
          <w:szCs w:val="18"/>
        </w:rPr>
        <w:footnoteRef/>
      </w:r>
      <w:r w:rsidRPr="00E3560A">
        <w:rPr>
          <w:sz w:val="18"/>
          <w:szCs w:val="18"/>
        </w:rPr>
        <w:t xml:space="preserve"> </w:t>
      </w:r>
      <w:r w:rsidR="00D553EF" w:rsidRPr="00E3560A">
        <w:rPr>
          <w:sz w:val="18"/>
          <w:szCs w:val="18"/>
        </w:rPr>
        <w:t xml:space="preserve">Disponible en: </w:t>
      </w:r>
      <w:hyperlink r:id="rId5" w:history="1">
        <w:r w:rsidR="00E3560A" w:rsidRPr="00E3560A">
          <w:rPr>
            <w:rStyle w:val="Hipervnculo"/>
            <w:color w:val="000000" w:themeColor="text1"/>
            <w:sz w:val="18"/>
            <w:szCs w:val="18"/>
            <w:u w:val="none"/>
          </w:rPr>
          <w:t>https://www.corteidh.or.cr/tablas/17229a.pdf</w:t>
        </w:r>
      </w:hyperlink>
      <w:r w:rsidR="00E3560A" w:rsidRPr="00E3560A">
        <w:rPr>
          <w:color w:val="000000" w:themeColor="text1"/>
          <w:sz w:val="18"/>
          <w:szCs w:val="18"/>
        </w:rPr>
        <w:t xml:space="preserve">  Consultado el 06/04/2022</w:t>
      </w:r>
    </w:p>
  </w:footnote>
  <w:footnote w:id="8">
    <w:p w14:paraId="38842107" w14:textId="1C1DEB2A" w:rsidR="00342CDB" w:rsidRPr="00E3560A" w:rsidRDefault="00342CDB" w:rsidP="00342CDB">
      <w:pPr>
        <w:pStyle w:val="Textonotapie"/>
        <w:rPr>
          <w:sz w:val="18"/>
          <w:szCs w:val="18"/>
          <w:lang w:val="es-MX"/>
        </w:rPr>
      </w:pPr>
      <w:r w:rsidRPr="00E3560A">
        <w:rPr>
          <w:rStyle w:val="Refdenotaalpie"/>
          <w:color w:val="000000" w:themeColor="text1"/>
          <w:sz w:val="18"/>
          <w:szCs w:val="18"/>
        </w:rPr>
        <w:footnoteRef/>
      </w:r>
      <w:r w:rsidRPr="00E3560A">
        <w:rPr>
          <w:color w:val="000000" w:themeColor="text1"/>
          <w:sz w:val="18"/>
          <w:szCs w:val="18"/>
        </w:rPr>
        <w:t xml:space="preserve"> </w:t>
      </w:r>
      <w:r w:rsidR="00D553EF" w:rsidRPr="00E3560A">
        <w:rPr>
          <w:color w:val="000000" w:themeColor="text1"/>
          <w:sz w:val="18"/>
          <w:szCs w:val="18"/>
        </w:rPr>
        <w:t xml:space="preserve">Disponible en: </w:t>
      </w:r>
      <w:hyperlink r:id="rId6" w:history="1">
        <w:r w:rsidR="00E3560A" w:rsidRPr="00E3560A">
          <w:rPr>
            <w:rStyle w:val="Hipervnculo"/>
            <w:color w:val="000000" w:themeColor="text1"/>
            <w:sz w:val="18"/>
            <w:szCs w:val="18"/>
            <w:u w:val="none"/>
          </w:rPr>
          <w:t>https://www.diputados.gob.mx/LeyesBiblio/pdf/CPEUM.pdf</w:t>
        </w:r>
      </w:hyperlink>
      <w:r w:rsidR="00E3560A" w:rsidRPr="00E3560A">
        <w:rPr>
          <w:color w:val="000000" w:themeColor="text1"/>
          <w:sz w:val="18"/>
          <w:szCs w:val="18"/>
        </w:rPr>
        <w:t xml:space="preserve">  Consultado el 06/04/2022</w:t>
      </w:r>
    </w:p>
  </w:footnote>
  <w:footnote w:id="9">
    <w:p w14:paraId="6E31FF7B" w14:textId="2C766D5F" w:rsidR="00227F1A" w:rsidRPr="00B8796B" w:rsidRDefault="00227F1A">
      <w:pPr>
        <w:pStyle w:val="Textonotapie"/>
        <w:rPr>
          <w:sz w:val="18"/>
          <w:szCs w:val="18"/>
        </w:rPr>
      </w:pPr>
      <w:r w:rsidRPr="00B8796B">
        <w:footnoteRef/>
      </w:r>
      <w:r w:rsidR="00D553EF" w:rsidRPr="00E3560A">
        <w:rPr>
          <w:sz w:val="18"/>
          <w:szCs w:val="18"/>
        </w:rPr>
        <w:t xml:space="preserve"> Disponible en:</w:t>
      </w:r>
      <w:r w:rsidR="004B40B9">
        <w:rPr>
          <w:sz w:val="18"/>
          <w:szCs w:val="18"/>
        </w:rPr>
        <w:t xml:space="preserve"> </w:t>
      </w:r>
      <w:hyperlink r:id="rId7" w:history="1">
        <w:r w:rsidR="000179A8" w:rsidRPr="00B8796B">
          <w:t>https://legislacion.edomex.gob.mx/sites/legislacion.edomex.gob.mx/files/files/pdf/cod/vig/codvig001.pdf</w:t>
        </w:r>
      </w:hyperlink>
      <w:r w:rsidR="00E3560A" w:rsidRPr="00B8796B">
        <w:rPr>
          <w:sz w:val="18"/>
          <w:szCs w:val="18"/>
        </w:rPr>
        <w:t xml:space="preserve">  </w:t>
      </w:r>
      <w:r w:rsidR="00E3560A">
        <w:rPr>
          <w:sz w:val="18"/>
          <w:szCs w:val="18"/>
        </w:rPr>
        <w:t>Consultado el 05/04/2022</w:t>
      </w:r>
    </w:p>
  </w:footnote>
  <w:footnote w:id="10">
    <w:p w14:paraId="4C33B39F" w14:textId="5B648568" w:rsidR="004E7566" w:rsidRPr="00B8796B" w:rsidRDefault="004E7566">
      <w:pPr>
        <w:pStyle w:val="Textonotapie"/>
        <w:rPr>
          <w:sz w:val="18"/>
          <w:szCs w:val="18"/>
        </w:rPr>
      </w:pPr>
      <w:r w:rsidRPr="00B8796B">
        <w:footnoteRef/>
      </w:r>
      <w:r w:rsidR="00D553EF" w:rsidRPr="00E3560A">
        <w:rPr>
          <w:sz w:val="18"/>
          <w:szCs w:val="18"/>
        </w:rPr>
        <w:t xml:space="preserve"> </w:t>
      </w:r>
      <w:proofErr w:type="spellStart"/>
      <w:r w:rsidR="00D553EF" w:rsidRPr="00E3560A">
        <w:rPr>
          <w:sz w:val="18"/>
          <w:szCs w:val="18"/>
        </w:rPr>
        <w:t>Ibí</w:t>
      </w:r>
      <w:r w:rsidRPr="00E3560A">
        <w:rPr>
          <w:sz w:val="18"/>
          <w:szCs w:val="18"/>
        </w:rPr>
        <w:t>dem</w:t>
      </w:r>
      <w:proofErr w:type="spellEnd"/>
    </w:p>
  </w:footnote>
  <w:footnote w:id="11">
    <w:p w14:paraId="279A7A4D" w14:textId="22F29A56" w:rsidR="0087533E" w:rsidRPr="00E3560A" w:rsidRDefault="0087533E">
      <w:pPr>
        <w:pStyle w:val="Textonotapie"/>
        <w:rPr>
          <w:sz w:val="18"/>
          <w:szCs w:val="18"/>
          <w:lang w:val="es-MX"/>
        </w:rPr>
      </w:pPr>
      <w:r w:rsidRPr="00E3560A">
        <w:rPr>
          <w:rStyle w:val="Refdenotaalpie"/>
          <w:sz w:val="18"/>
          <w:szCs w:val="18"/>
        </w:rPr>
        <w:footnoteRef/>
      </w:r>
      <w:r w:rsidR="00D553EF" w:rsidRPr="00E3560A">
        <w:rPr>
          <w:sz w:val="18"/>
          <w:szCs w:val="18"/>
        </w:rPr>
        <w:t xml:space="preserve"> Disponible en: </w:t>
      </w:r>
      <w:hyperlink r:id="rId8" w:history="1">
        <w:r w:rsidR="00E3560A" w:rsidRPr="00E3560A">
          <w:rPr>
            <w:rStyle w:val="Hipervnculo"/>
            <w:color w:val="000000" w:themeColor="text1"/>
            <w:sz w:val="18"/>
            <w:szCs w:val="18"/>
            <w:u w:val="none"/>
          </w:rPr>
          <w:t>https://legislacion.edomex.gob.mx/sites/legislacion.edomex.gob.mx/files/files/pdf/cod/vig/codvig003.pdf</w:t>
        </w:r>
      </w:hyperlink>
      <w:r w:rsidR="00E3560A" w:rsidRPr="00E3560A">
        <w:rPr>
          <w:color w:val="000000" w:themeColor="text1"/>
          <w:sz w:val="18"/>
          <w:szCs w:val="18"/>
        </w:rPr>
        <w:t xml:space="preserve">  </w:t>
      </w:r>
      <w:r w:rsidR="00E3560A">
        <w:rPr>
          <w:sz w:val="18"/>
          <w:szCs w:val="18"/>
        </w:rPr>
        <w:t>Consultado el 07/04/2022</w:t>
      </w:r>
    </w:p>
  </w:footnote>
  <w:footnote w:id="12">
    <w:p w14:paraId="1C051555" w14:textId="5E956966" w:rsidR="00A0489F" w:rsidRPr="00E3560A" w:rsidRDefault="00A0489F">
      <w:pPr>
        <w:pStyle w:val="Textonotapie"/>
        <w:rPr>
          <w:sz w:val="18"/>
          <w:szCs w:val="18"/>
          <w:lang w:val="es-MX"/>
        </w:rPr>
      </w:pPr>
      <w:r w:rsidRPr="00E3560A">
        <w:rPr>
          <w:rStyle w:val="Refdenotaalpie"/>
          <w:sz w:val="18"/>
          <w:szCs w:val="18"/>
        </w:rPr>
        <w:footnoteRef/>
      </w:r>
      <w:r w:rsidRPr="00E3560A">
        <w:rPr>
          <w:sz w:val="18"/>
          <w:szCs w:val="18"/>
        </w:rPr>
        <w:t xml:space="preserve"> </w:t>
      </w:r>
      <w:r w:rsidR="00E3560A">
        <w:rPr>
          <w:sz w:val="18"/>
          <w:szCs w:val="18"/>
        </w:rPr>
        <w:t xml:space="preserve">Disponible en: </w:t>
      </w:r>
      <w:hyperlink r:id="rId9" w:history="1">
        <w:r w:rsidR="00E3560A" w:rsidRPr="00E3560A">
          <w:rPr>
            <w:rStyle w:val="Hipervnculo"/>
            <w:color w:val="000000" w:themeColor="text1"/>
            <w:sz w:val="18"/>
            <w:szCs w:val="18"/>
            <w:u w:val="none"/>
          </w:rPr>
          <w:t>https://sjf2.scjn.gob.mx/listado-resultado-tesis</w:t>
        </w:r>
      </w:hyperlink>
      <w:r w:rsidR="00E3560A">
        <w:rPr>
          <w:sz w:val="18"/>
          <w:szCs w:val="18"/>
        </w:rPr>
        <w:t xml:space="preserve">  Consultado el 06/04/2022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2E69" w14:textId="35FEEB15" w:rsidR="00985BE8" w:rsidRPr="006D5A91" w:rsidRDefault="006D5A91">
    <w:pPr>
      <w:pStyle w:val="Textoindependiente"/>
      <w:spacing w:line="14" w:lineRule="auto"/>
      <w:rPr>
        <w:sz w:val="18"/>
        <w:szCs w:val="18"/>
        <w:lang w:val="es-MX" w:eastAsia="es-MX"/>
      </w:rPr>
    </w:pPr>
    <w:r w:rsidRPr="006D5A91">
      <w:rPr>
        <w:noProof/>
        <w:sz w:val="18"/>
        <w:szCs w:val="18"/>
        <w:lang w:val="es-MX" w:eastAsia="es-MX"/>
      </w:rPr>
      <mc:AlternateContent>
        <mc:Choice Requires="wps">
          <w:drawing>
            <wp:anchor distT="0" distB="0" distL="114300" distR="114300" simplePos="0" relativeHeight="487479808" behindDoc="1" locked="0" layoutInCell="1" allowOverlap="1" wp14:anchorId="61763C51" wp14:editId="19CDCC06">
              <wp:simplePos x="0" y="0"/>
              <wp:positionH relativeFrom="page">
                <wp:posOffset>2673985</wp:posOffset>
              </wp:positionH>
              <wp:positionV relativeFrom="page">
                <wp:posOffset>995081</wp:posOffset>
              </wp:positionV>
              <wp:extent cx="2458528" cy="270345"/>
              <wp:effectExtent l="0" t="0" r="18415" b="158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528" cy="27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7AB09" w14:textId="77777777" w:rsidR="006D5A91" w:rsidRPr="006D5A91" w:rsidRDefault="006D5A91" w:rsidP="00042155">
                          <w:pPr>
                            <w:spacing w:before="12"/>
                            <w:ind w:left="4" w:right="4"/>
                            <w:jc w:val="center"/>
                            <w:rPr>
                              <w:rFonts w:ascii="Arial"/>
                              <w:b/>
                              <w:color w:val="96174A"/>
                              <w:sz w:val="18"/>
                              <w:szCs w:val="18"/>
                            </w:rPr>
                          </w:pPr>
                          <w:r w:rsidRPr="006D5A91">
                            <w:rPr>
                              <w:rFonts w:ascii="Arial"/>
                              <w:b/>
                              <w:color w:val="96174A"/>
                              <w:sz w:val="18"/>
                              <w:szCs w:val="18"/>
                            </w:rPr>
                            <w:t>DIP. RIGOBERTO VARGAS CERVANTES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63C51" id="_x0000_t202" coordsize="21600,21600" o:spt="202" path="m,l,21600r21600,l21600,xe">
              <v:stroke joinstyle="miter"/>
              <v:path gradientshapeok="t" o:connecttype="rect"/>
            </v:shapetype>
            <v:shape id="Text Box 3" o:spid="_x0000_s1026" type="#_x0000_t202" style="position:absolute;margin-left:210.55pt;margin-top:78.35pt;width:193.6pt;height:21.3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v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pjpDr1Jwuu/BTY+wDV22TFV/J8qvCnGxbgjf0RspxdBQUkF2vrnpnl2d&#10;cJQB2Q4fRAVhyF4LCzTWsjOlg2IgQIcuPZ46Y1IpYTMIozgKQEslnAVL7zKM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" filled="f" stroked="f">
              <v:textbox inset="0,0,0,0">
                <w:txbxContent>
                  <w:p w14:paraId="7DA7AB09" w14:textId="77777777" w:rsidR="006D5A91" w:rsidRPr="006D5A91" w:rsidRDefault="006D5A91" w:rsidP="00042155">
                    <w:pPr>
                      <w:spacing w:before="12"/>
                      <w:ind w:left="4" w:right="4"/>
                      <w:jc w:val="center"/>
                      <w:rPr>
                        <w:rFonts w:ascii="Arial"/>
                        <w:b/>
                        <w:color w:val="96174A"/>
                        <w:sz w:val="18"/>
                        <w:szCs w:val="18"/>
                      </w:rPr>
                    </w:pPr>
                    <w:r w:rsidRPr="006D5A91">
                      <w:rPr>
                        <w:rFonts w:ascii="Arial"/>
                        <w:b/>
                        <w:color w:val="96174A"/>
                        <w:sz w:val="18"/>
                        <w:szCs w:val="18"/>
                      </w:rPr>
                      <w:t>DIP. RIGOBERTO VARGAS CERVANTES</w:t>
                    </w:r>
                  </w:p>
                </w:txbxContent>
              </v:textbox>
              <w10:wrap anchorx="page" anchory="page"/>
            </v:shape>
          </w:pict>
        </mc:Fallback>
      </mc:AlternateContent>
    </w:r>
    <w:r w:rsidRPr="006D5A91">
      <w:rPr>
        <w:noProof/>
        <w:sz w:val="18"/>
        <w:szCs w:val="18"/>
        <w:lang w:val="es-MX" w:eastAsia="es-MX"/>
      </w:rPr>
      <mc:AlternateContent>
        <mc:Choice Requires="wps">
          <w:drawing>
            <wp:anchor distT="0" distB="0" distL="114300" distR="114300" simplePos="0" relativeHeight="487480320" behindDoc="1" locked="0" layoutInCell="1" allowOverlap="1" wp14:anchorId="0A082B26" wp14:editId="4365FABA">
              <wp:simplePos x="0" y="0"/>
              <wp:positionH relativeFrom="page">
                <wp:posOffset>1502189</wp:posOffset>
              </wp:positionH>
              <wp:positionV relativeFrom="page">
                <wp:posOffset>1375493</wp:posOffset>
              </wp:positionV>
              <wp:extent cx="4428877" cy="219075"/>
              <wp:effectExtent l="0" t="0" r="1016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EB923" w14:textId="1EE6F9D0" w:rsidR="00985BE8" w:rsidRPr="006D5A91" w:rsidRDefault="00E3560A" w:rsidP="006D5A91">
                          <w:pPr>
                            <w:jc w:val="center"/>
                            <w:rPr>
                              <w:rFonts w:ascii="Arial" w:hAnsi="Arial"/>
                              <w:b/>
                              <w:sz w:val="18"/>
                              <w:szCs w:val="18"/>
                            </w:rPr>
                          </w:pPr>
                          <w:r>
                            <w:rPr>
                              <w:rFonts w:ascii="Arial" w:hAnsi="Arial"/>
                              <w:b/>
                              <w:color w:val="96174A"/>
                              <w:sz w:val="18"/>
                              <w:szCs w:val="18"/>
                            </w:rPr>
                            <w:t>2022. “</w:t>
                          </w:r>
                          <w:r w:rsidR="00985BE8" w:rsidRPr="006D5A91">
                            <w:rPr>
                              <w:rFonts w:ascii="Arial" w:hAnsi="Arial"/>
                              <w:b/>
                              <w:color w:val="96174A"/>
                              <w:sz w:val="18"/>
                              <w:szCs w:val="18"/>
                            </w:rPr>
                            <w:t>Quincentenario de Toluca, Capital del Estado de México”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2B26" id="Text Box 2" o:spid="_x0000_s1027" type="#_x0000_t202" style="position:absolute;margin-left:118.3pt;margin-top:108.3pt;width:348.75pt;height:17.25pt;z-index:-158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YP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" filled="f" stroked="f">
              <v:textbox inset="0,0,0,0">
                <w:txbxContent>
                  <w:p w14:paraId="3F2EB923" w14:textId="1EE6F9D0" w:rsidR="00985BE8" w:rsidRPr="006D5A91" w:rsidRDefault="00E3560A" w:rsidP="006D5A91">
                    <w:pPr>
                      <w:jc w:val="center"/>
                      <w:rPr>
                        <w:rFonts w:ascii="Arial" w:hAnsi="Arial"/>
                        <w:b/>
                        <w:sz w:val="18"/>
                        <w:szCs w:val="18"/>
                      </w:rPr>
                    </w:pPr>
                    <w:r>
                      <w:rPr>
                        <w:rFonts w:ascii="Arial" w:hAnsi="Arial"/>
                        <w:b/>
                        <w:color w:val="96174A"/>
                        <w:sz w:val="18"/>
                        <w:szCs w:val="18"/>
                      </w:rPr>
                      <w:t>2022. “</w:t>
                    </w:r>
                    <w:proofErr w:type="spellStart"/>
                    <w:r w:rsidR="00985BE8" w:rsidRPr="006D5A91">
                      <w:rPr>
                        <w:rFonts w:ascii="Arial" w:hAnsi="Arial"/>
                        <w:b/>
                        <w:color w:val="96174A"/>
                        <w:sz w:val="18"/>
                        <w:szCs w:val="18"/>
                      </w:rPr>
                      <w:t>Quincentenario</w:t>
                    </w:r>
                    <w:proofErr w:type="spellEnd"/>
                    <w:r w:rsidR="00985BE8" w:rsidRPr="006D5A91">
                      <w:rPr>
                        <w:rFonts w:ascii="Arial" w:hAnsi="Arial"/>
                        <w:b/>
                        <w:color w:val="96174A"/>
                        <w:sz w:val="18"/>
                        <w:szCs w:val="18"/>
                      </w:rPr>
                      <w:t xml:space="preserve"> de Toluca, Capital del Estado de México”</w:t>
                    </w:r>
                  </w:p>
                </w:txbxContent>
              </v:textbox>
              <w10:wrap anchorx="page" anchory="page"/>
            </v:shape>
          </w:pict>
        </mc:Fallback>
      </mc:AlternateContent>
    </w:r>
    <w:r w:rsidRPr="006D5A91">
      <w:rPr>
        <w:noProof/>
        <w:sz w:val="18"/>
        <w:szCs w:val="18"/>
        <w:lang w:val="es-MX" w:eastAsia="es-MX"/>
      </w:rPr>
      <w:drawing>
        <wp:anchor distT="0" distB="0" distL="0" distR="0" simplePos="0" relativeHeight="487478784" behindDoc="1" locked="0" layoutInCell="1" allowOverlap="1" wp14:anchorId="2965CA66" wp14:editId="411270D0">
          <wp:simplePos x="0" y="0"/>
          <wp:positionH relativeFrom="page">
            <wp:posOffset>2375090</wp:posOffset>
          </wp:positionH>
          <wp:positionV relativeFrom="page">
            <wp:posOffset>58061</wp:posOffset>
          </wp:positionV>
          <wp:extent cx="2867025" cy="89090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67025" cy="8909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47C"/>
    <w:multiLevelType w:val="hybridMultilevel"/>
    <w:tmpl w:val="E3D4E364"/>
    <w:lvl w:ilvl="0" w:tplc="DC6E21B0">
      <w:start w:val="1"/>
      <w:numFmt w:val="upperRoman"/>
      <w:lvlText w:val="%1."/>
      <w:lvlJc w:val="left"/>
      <w:pPr>
        <w:tabs>
          <w:tab w:val="num" w:pos="1125"/>
        </w:tabs>
        <w:ind w:left="1125" w:hanging="1021"/>
      </w:pPr>
      <w:rPr>
        <w:rFonts w:hint="default"/>
        <w:b/>
        <w:i w:val="0"/>
        <w:sz w:val="20"/>
        <w:szCs w:val="24"/>
      </w:rPr>
    </w:lvl>
    <w:lvl w:ilvl="1" w:tplc="CC3CA25E">
      <w:start w:val="3"/>
      <w:numFmt w:val="lowerLetter"/>
      <w:lvlText w:val="%2)"/>
      <w:lvlJc w:val="left"/>
      <w:pPr>
        <w:tabs>
          <w:tab w:val="num" w:pos="1544"/>
        </w:tabs>
        <w:ind w:left="1544" w:hanging="360"/>
      </w:pPr>
      <w:rPr>
        <w:rFonts w:hint="default"/>
      </w:rPr>
    </w:lvl>
    <w:lvl w:ilvl="2" w:tplc="E026B3D8">
      <w:start w:val="1"/>
      <w:numFmt w:val="lowerLetter"/>
      <w:lvlText w:val="%3."/>
      <w:lvlJc w:val="left"/>
      <w:pPr>
        <w:tabs>
          <w:tab w:val="num" w:pos="2789"/>
        </w:tabs>
        <w:ind w:left="2789" w:hanging="705"/>
      </w:pPr>
      <w:rPr>
        <w:rFonts w:hint="default"/>
        <w:b/>
      </w:rPr>
    </w:lvl>
    <w:lvl w:ilvl="3" w:tplc="0C0A000F" w:tentative="1">
      <w:start w:val="1"/>
      <w:numFmt w:val="decimal"/>
      <w:lvlText w:val="%4."/>
      <w:lvlJc w:val="left"/>
      <w:pPr>
        <w:tabs>
          <w:tab w:val="num" w:pos="2984"/>
        </w:tabs>
        <w:ind w:left="2984" w:hanging="360"/>
      </w:pPr>
    </w:lvl>
    <w:lvl w:ilvl="4" w:tplc="0C0A0019" w:tentative="1">
      <w:start w:val="1"/>
      <w:numFmt w:val="lowerLetter"/>
      <w:lvlText w:val="%5."/>
      <w:lvlJc w:val="left"/>
      <w:pPr>
        <w:tabs>
          <w:tab w:val="num" w:pos="3704"/>
        </w:tabs>
        <w:ind w:left="3704" w:hanging="360"/>
      </w:pPr>
    </w:lvl>
    <w:lvl w:ilvl="5" w:tplc="0C0A001B" w:tentative="1">
      <w:start w:val="1"/>
      <w:numFmt w:val="lowerRoman"/>
      <w:lvlText w:val="%6."/>
      <w:lvlJc w:val="right"/>
      <w:pPr>
        <w:tabs>
          <w:tab w:val="num" w:pos="4424"/>
        </w:tabs>
        <w:ind w:left="4424" w:hanging="180"/>
      </w:pPr>
    </w:lvl>
    <w:lvl w:ilvl="6" w:tplc="0C0A000F" w:tentative="1">
      <w:start w:val="1"/>
      <w:numFmt w:val="decimal"/>
      <w:lvlText w:val="%7."/>
      <w:lvlJc w:val="left"/>
      <w:pPr>
        <w:tabs>
          <w:tab w:val="num" w:pos="5144"/>
        </w:tabs>
        <w:ind w:left="5144" w:hanging="360"/>
      </w:pPr>
    </w:lvl>
    <w:lvl w:ilvl="7" w:tplc="0C0A0019" w:tentative="1">
      <w:start w:val="1"/>
      <w:numFmt w:val="lowerLetter"/>
      <w:lvlText w:val="%8."/>
      <w:lvlJc w:val="left"/>
      <w:pPr>
        <w:tabs>
          <w:tab w:val="num" w:pos="5864"/>
        </w:tabs>
        <w:ind w:left="5864" w:hanging="360"/>
      </w:pPr>
    </w:lvl>
    <w:lvl w:ilvl="8" w:tplc="0C0A001B" w:tentative="1">
      <w:start w:val="1"/>
      <w:numFmt w:val="lowerRoman"/>
      <w:lvlText w:val="%9."/>
      <w:lvlJc w:val="right"/>
      <w:pPr>
        <w:tabs>
          <w:tab w:val="num" w:pos="6584"/>
        </w:tabs>
        <w:ind w:left="6584" w:hanging="180"/>
      </w:pPr>
    </w:lvl>
  </w:abstractNum>
  <w:abstractNum w:abstractNumId="1" w15:restartNumberingAfterBreak="0">
    <w:nsid w:val="156462D1"/>
    <w:multiLevelType w:val="hybridMultilevel"/>
    <w:tmpl w:val="682496EA"/>
    <w:lvl w:ilvl="0" w:tplc="BFC807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66158F"/>
    <w:multiLevelType w:val="multilevel"/>
    <w:tmpl w:val="2D405BE2"/>
    <w:lvl w:ilvl="0">
      <w:start w:val="1"/>
      <w:numFmt w:val="decimal"/>
      <w:suff w:val="nothing"/>
      <w:lvlText w:val="Artículo %1.-"/>
      <w:lvlJc w:val="left"/>
      <w:pPr>
        <w:ind w:left="0" w:firstLine="0"/>
      </w:pPr>
      <w:rPr>
        <w:rFonts w:ascii="Bookman Old Style" w:hAnsi="Bookman Old Style" w:hint="default"/>
        <w:b/>
        <w:i w:val="0"/>
        <w:color w:val="auto"/>
        <w:kern w:val="0"/>
        <w:sz w:val="20"/>
        <w:szCs w:val="20"/>
        <w:u w:val="none"/>
        <w:effect w:val="none"/>
      </w:rPr>
    </w:lvl>
    <w:lvl w:ilvl="1">
      <w:start w:val="1"/>
      <w:numFmt w:val="decimalZero"/>
      <w:isLgl/>
      <w:lvlText w:val="Secció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b/>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5F143C59"/>
    <w:multiLevelType w:val="hybridMultilevel"/>
    <w:tmpl w:val="658E8328"/>
    <w:lvl w:ilvl="0" w:tplc="335A5BCC">
      <w:start w:val="1"/>
      <w:numFmt w:val="lowerLetter"/>
      <w:lvlText w:val="%1)"/>
      <w:lvlJc w:val="left"/>
      <w:pPr>
        <w:tabs>
          <w:tab w:val="num" w:pos="720"/>
        </w:tabs>
        <w:ind w:left="720" w:hanging="360"/>
      </w:pPr>
      <w:rPr>
        <w:rFonts w:ascii="Arial" w:eastAsia="Verdana"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64BF48CE"/>
    <w:multiLevelType w:val="hybridMultilevel"/>
    <w:tmpl w:val="5C84AEC0"/>
    <w:lvl w:ilvl="0" w:tplc="55F61DFE">
      <w:start w:val="1"/>
      <w:numFmt w:val="lowerLetter"/>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5" w15:restartNumberingAfterBreak="0">
    <w:nsid w:val="6BBA167E"/>
    <w:multiLevelType w:val="hybridMultilevel"/>
    <w:tmpl w:val="682496EA"/>
    <w:lvl w:ilvl="0" w:tplc="BFC807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415EBD"/>
    <w:multiLevelType w:val="hybridMultilevel"/>
    <w:tmpl w:val="B2D29A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6F"/>
    <w:rsid w:val="00001998"/>
    <w:rsid w:val="000179A8"/>
    <w:rsid w:val="000259A8"/>
    <w:rsid w:val="00042155"/>
    <w:rsid w:val="00062C79"/>
    <w:rsid w:val="00067EAC"/>
    <w:rsid w:val="00075718"/>
    <w:rsid w:val="00092D05"/>
    <w:rsid w:val="0009339F"/>
    <w:rsid w:val="000A0E28"/>
    <w:rsid w:val="000A2B4C"/>
    <w:rsid w:val="000B0D74"/>
    <w:rsid w:val="000B1018"/>
    <w:rsid w:val="000C1452"/>
    <w:rsid w:val="000C158B"/>
    <w:rsid w:val="000C182A"/>
    <w:rsid w:val="000C654A"/>
    <w:rsid w:val="000D2D2B"/>
    <w:rsid w:val="000D7F50"/>
    <w:rsid w:val="000E6081"/>
    <w:rsid w:val="0012789C"/>
    <w:rsid w:val="00130336"/>
    <w:rsid w:val="001366D0"/>
    <w:rsid w:val="001456FB"/>
    <w:rsid w:val="00160E47"/>
    <w:rsid w:val="001713E3"/>
    <w:rsid w:val="0017460D"/>
    <w:rsid w:val="001971CA"/>
    <w:rsid w:val="001A34FB"/>
    <w:rsid w:val="001B0E7C"/>
    <w:rsid w:val="001B6088"/>
    <w:rsid w:val="001D0749"/>
    <w:rsid w:val="0021455E"/>
    <w:rsid w:val="00220FAD"/>
    <w:rsid w:val="00221CE7"/>
    <w:rsid w:val="002251D7"/>
    <w:rsid w:val="00227F1A"/>
    <w:rsid w:val="00241202"/>
    <w:rsid w:val="00251362"/>
    <w:rsid w:val="0026503C"/>
    <w:rsid w:val="00266E01"/>
    <w:rsid w:val="00267D22"/>
    <w:rsid w:val="00280193"/>
    <w:rsid w:val="00282183"/>
    <w:rsid w:val="002B417D"/>
    <w:rsid w:val="002B443D"/>
    <w:rsid w:val="002D214A"/>
    <w:rsid w:val="00330087"/>
    <w:rsid w:val="0033381A"/>
    <w:rsid w:val="00342CDB"/>
    <w:rsid w:val="0034321E"/>
    <w:rsid w:val="0035578C"/>
    <w:rsid w:val="00391D60"/>
    <w:rsid w:val="003B0A00"/>
    <w:rsid w:val="003B3925"/>
    <w:rsid w:val="003E09B3"/>
    <w:rsid w:val="003F0CAE"/>
    <w:rsid w:val="003F64CB"/>
    <w:rsid w:val="00421B5E"/>
    <w:rsid w:val="00432D0B"/>
    <w:rsid w:val="0044285E"/>
    <w:rsid w:val="00444BAB"/>
    <w:rsid w:val="00460ECC"/>
    <w:rsid w:val="0046504E"/>
    <w:rsid w:val="004670BC"/>
    <w:rsid w:val="0047170D"/>
    <w:rsid w:val="00482B83"/>
    <w:rsid w:val="004B3CA3"/>
    <w:rsid w:val="004B40B9"/>
    <w:rsid w:val="004C1385"/>
    <w:rsid w:val="004C24F8"/>
    <w:rsid w:val="004C671C"/>
    <w:rsid w:val="004C75EC"/>
    <w:rsid w:val="004D5D16"/>
    <w:rsid w:val="004D6004"/>
    <w:rsid w:val="004E0D8A"/>
    <w:rsid w:val="004E5425"/>
    <w:rsid w:val="004E7566"/>
    <w:rsid w:val="004F05EA"/>
    <w:rsid w:val="004F449A"/>
    <w:rsid w:val="00502636"/>
    <w:rsid w:val="00507A32"/>
    <w:rsid w:val="00512338"/>
    <w:rsid w:val="00520EB3"/>
    <w:rsid w:val="005748D4"/>
    <w:rsid w:val="005748EE"/>
    <w:rsid w:val="005C7C61"/>
    <w:rsid w:val="005F62A1"/>
    <w:rsid w:val="00620D98"/>
    <w:rsid w:val="00625B9E"/>
    <w:rsid w:val="00626680"/>
    <w:rsid w:val="006367E0"/>
    <w:rsid w:val="00646423"/>
    <w:rsid w:val="00677C49"/>
    <w:rsid w:val="006825FE"/>
    <w:rsid w:val="0069092E"/>
    <w:rsid w:val="00696B68"/>
    <w:rsid w:val="0069709B"/>
    <w:rsid w:val="006C0DC7"/>
    <w:rsid w:val="006D5A91"/>
    <w:rsid w:val="006D7A71"/>
    <w:rsid w:val="006E2805"/>
    <w:rsid w:val="006E40BC"/>
    <w:rsid w:val="006F30F0"/>
    <w:rsid w:val="00711CBD"/>
    <w:rsid w:val="00712AAA"/>
    <w:rsid w:val="00720994"/>
    <w:rsid w:val="007402B6"/>
    <w:rsid w:val="007423D5"/>
    <w:rsid w:val="00752491"/>
    <w:rsid w:val="0075445A"/>
    <w:rsid w:val="0077151E"/>
    <w:rsid w:val="00774E77"/>
    <w:rsid w:val="007A616D"/>
    <w:rsid w:val="007B6172"/>
    <w:rsid w:val="007D6ACD"/>
    <w:rsid w:val="0080066C"/>
    <w:rsid w:val="008274F4"/>
    <w:rsid w:val="00827DD7"/>
    <w:rsid w:val="00833173"/>
    <w:rsid w:val="00836D12"/>
    <w:rsid w:val="00846388"/>
    <w:rsid w:val="00847A4A"/>
    <w:rsid w:val="00847D30"/>
    <w:rsid w:val="008524B5"/>
    <w:rsid w:val="00856124"/>
    <w:rsid w:val="00862A81"/>
    <w:rsid w:val="00862F95"/>
    <w:rsid w:val="0087533E"/>
    <w:rsid w:val="0088060B"/>
    <w:rsid w:val="00882714"/>
    <w:rsid w:val="00883FEA"/>
    <w:rsid w:val="00891C29"/>
    <w:rsid w:val="008A0C2A"/>
    <w:rsid w:val="008B0EC7"/>
    <w:rsid w:val="008C25BD"/>
    <w:rsid w:val="008C372D"/>
    <w:rsid w:val="008D1E92"/>
    <w:rsid w:val="00912315"/>
    <w:rsid w:val="0091327B"/>
    <w:rsid w:val="009217C8"/>
    <w:rsid w:val="009554F7"/>
    <w:rsid w:val="00956B74"/>
    <w:rsid w:val="009575FB"/>
    <w:rsid w:val="009632E5"/>
    <w:rsid w:val="00985A52"/>
    <w:rsid w:val="00985BE8"/>
    <w:rsid w:val="0099049E"/>
    <w:rsid w:val="00994B41"/>
    <w:rsid w:val="00995FC1"/>
    <w:rsid w:val="009A24CC"/>
    <w:rsid w:val="009B2629"/>
    <w:rsid w:val="009E4EBC"/>
    <w:rsid w:val="009F4CB9"/>
    <w:rsid w:val="00A0489F"/>
    <w:rsid w:val="00A357AE"/>
    <w:rsid w:val="00A47B28"/>
    <w:rsid w:val="00A73F28"/>
    <w:rsid w:val="00A81613"/>
    <w:rsid w:val="00A8286A"/>
    <w:rsid w:val="00A840E4"/>
    <w:rsid w:val="00AA585E"/>
    <w:rsid w:val="00AB3185"/>
    <w:rsid w:val="00AC55E5"/>
    <w:rsid w:val="00AD2ADE"/>
    <w:rsid w:val="00AD5778"/>
    <w:rsid w:val="00AD5D6C"/>
    <w:rsid w:val="00AD67BC"/>
    <w:rsid w:val="00AF496A"/>
    <w:rsid w:val="00AF70F0"/>
    <w:rsid w:val="00B00F1E"/>
    <w:rsid w:val="00B2647D"/>
    <w:rsid w:val="00B34593"/>
    <w:rsid w:val="00B34F17"/>
    <w:rsid w:val="00B44E46"/>
    <w:rsid w:val="00B6549F"/>
    <w:rsid w:val="00B6621F"/>
    <w:rsid w:val="00B7140E"/>
    <w:rsid w:val="00B87662"/>
    <w:rsid w:val="00B8796B"/>
    <w:rsid w:val="00BA6ACB"/>
    <w:rsid w:val="00BA72B0"/>
    <w:rsid w:val="00BC13B3"/>
    <w:rsid w:val="00BE04AC"/>
    <w:rsid w:val="00BF001E"/>
    <w:rsid w:val="00C10DF0"/>
    <w:rsid w:val="00C12016"/>
    <w:rsid w:val="00C25DFF"/>
    <w:rsid w:val="00C34C92"/>
    <w:rsid w:val="00C35A7B"/>
    <w:rsid w:val="00C373A5"/>
    <w:rsid w:val="00C55B39"/>
    <w:rsid w:val="00C67808"/>
    <w:rsid w:val="00C71CEB"/>
    <w:rsid w:val="00C765A1"/>
    <w:rsid w:val="00C84E62"/>
    <w:rsid w:val="00CA1DE5"/>
    <w:rsid w:val="00CB1D35"/>
    <w:rsid w:val="00CB560D"/>
    <w:rsid w:val="00CC6130"/>
    <w:rsid w:val="00CC6494"/>
    <w:rsid w:val="00CE6BF5"/>
    <w:rsid w:val="00CF77B6"/>
    <w:rsid w:val="00D00428"/>
    <w:rsid w:val="00D23FA5"/>
    <w:rsid w:val="00D240CC"/>
    <w:rsid w:val="00D4744D"/>
    <w:rsid w:val="00D50F58"/>
    <w:rsid w:val="00D53D6F"/>
    <w:rsid w:val="00D553EF"/>
    <w:rsid w:val="00D60CA5"/>
    <w:rsid w:val="00D60E89"/>
    <w:rsid w:val="00D64047"/>
    <w:rsid w:val="00D6761D"/>
    <w:rsid w:val="00D706A7"/>
    <w:rsid w:val="00D70EF5"/>
    <w:rsid w:val="00D71689"/>
    <w:rsid w:val="00D85E4E"/>
    <w:rsid w:val="00D916A7"/>
    <w:rsid w:val="00DA286C"/>
    <w:rsid w:val="00DA6232"/>
    <w:rsid w:val="00DB6152"/>
    <w:rsid w:val="00DC30DA"/>
    <w:rsid w:val="00DE3DE9"/>
    <w:rsid w:val="00DF6DB4"/>
    <w:rsid w:val="00E23BCC"/>
    <w:rsid w:val="00E2420A"/>
    <w:rsid w:val="00E251D3"/>
    <w:rsid w:val="00E32106"/>
    <w:rsid w:val="00E3560A"/>
    <w:rsid w:val="00E44440"/>
    <w:rsid w:val="00E642E8"/>
    <w:rsid w:val="00E757CD"/>
    <w:rsid w:val="00E83AA3"/>
    <w:rsid w:val="00E85AE5"/>
    <w:rsid w:val="00E91CAD"/>
    <w:rsid w:val="00EA28B2"/>
    <w:rsid w:val="00EC31DA"/>
    <w:rsid w:val="00EC7637"/>
    <w:rsid w:val="00ED3657"/>
    <w:rsid w:val="00EE3A38"/>
    <w:rsid w:val="00F131B2"/>
    <w:rsid w:val="00F24D2C"/>
    <w:rsid w:val="00F47AE1"/>
    <w:rsid w:val="00F96C8B"/>
    <w:rsid w:val="00FB3746"/>
    <w:rsid w:val="00FB45FC"/>
    <w:rsid w:val="00FC66D4"/>
    <w:rsid w:val="00FE0667"/>
    <w:rsid w:val="00FE5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E478"/>
  <w15:docId w15:val="{68AC3457-0C81-42C8-866D-14315BE4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224" w:right="240"/>
      <w:jc w:val="center"/>
      <w:outlineLvl w:val="0"/>
    </w:pPr>
    <w:rPr>
      <w:rFonts w:ascii="Tahoma" w:eastAsia="Tahoma" w:hAnsi="Tahoma"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
      <w:ind w:left="107"/>
    </w:pPr>
  </w:style>
  <w:style w:type="paragraph" w:styleId="Encabezado">
    <w:name w:val="header"/>
    <w:basedOn w:val="Normal"/>
    <w:link w:val="EncabezadoCar"/>
    <w:uiPriority w:val="99"/>
    <w:unhideWhenUsed/>
    <w:rsid w:val="00CC6494"/>
    <w:pPr>
      <w:tabs>
        <w:tab w:val="center" w:pos="4419"/>
        <w:tab w:val="right" w:pos="8838"/>
      </w:tabs>
    </w:pPr>
  </w:style>
  <w:style w:type="character" w:customStyle="1" w:styleId="EncabezadoCar">
    <w:name w:val="Encabezado Car"/>
    <w:basedOn w:val="Fuentedeprrafopredeter"/>
    <w:link w:val="Encabezado"/>
    <w:uiPriority w:val="99"/>
    <w:rsid w:val="00CC6494"/>
    <w:rPr>
      <w:rFonts w:ascii="Verdana" w:eastAsia="Verdana" w:hAnsi="Verdana" w:cs="Verdana"/>
      <w:lang w:val="es-ES"/>
    </w:rPr>
  </w:style>
  <w:style w:type="paragraph" w:styleId="Piedepgina">
    <w:name w:val="footer"/>
    <w:basedOn w:val="Normal"/>
    <w:link w:val="PiedepginaCar"/>
    <w:uiPriority w:val="99"/>
    <w:unhideWhenUsed/>
    <w:rsid w:val="00CC6494"/>
    <w:pPr>
      <w:tabs>
        <w:tab w:val="center" w:pos="4419"/>
        <w:tab w:val="right" w:pos="8838"/>
      </w:tabs>
    </w:pPr>
  </w:style>
  <w:style w:type="character" w:customStyle="1" w:styleId="PiedepginaCar">
    <w:name w:val="Pie de página Car"/>
    <w:basedOn w:val="Fuentedeprrafopredeter"/>
    <w:link w:val="Piedepgina"/>
    <w:uiPriority w:val="99"/>
    <w:rsid w:val="00CC6494"/>
    <w:rPr>
      <w:rFonts w:ascii="Verdana" w:eastAsia="Verdana" w:hAnsi="Verdana" w:cs="Verdana"/>
      <w:lang w:val="es-ES"/>
    </w:rPr>
  </w:style>
  <w:style w:type="paragraph" w:styleId="Textoindependiente3">
    <w:name w:val="Body Text 3"/>
    <w:basedOn w:val="Normal"/>
    <w:link w:val="Textoindependiente3Car"/>
    <w:semiHidden/>
    <w:rsid w:val="002D214A"/>
    <w:pPr>
      <w:widowControl/>
      <w:autoSpaceDE/>
      <w:autoSpaceDN/>
      <w:spacing w:after="120"/>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2D214A"/>
    <w:rPr>
      <w:rFonts w:ascii="Times New Roman" w:eastAsia="Times New Roman" w:hAnsi="Times New Roman" w:cs="Times New Roman"/>
      <w:sz w:val="16"/>
      <w:szCs w:val="16"/>
      <w:lang w:val="es-ES" w:eastAsia="es-ES"/>
    </w:rPr>
  </w:style>
  <w:style w:type="table" w:styleId="Tablaconcuadrcula">
    <w:name w:val="Table Grid"/>
    <w:basedOn w:val="Tablanormal"/>
    <w:uiPriority w:val="39"/>
    <w:rsid w:val="002D214A"/>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A286C"/>
    <w:rPr>
      <w:sz w:val="20"/>
      <w:szCs w:val="20"/>
    </w:rPr>
  </w:style>
  <w:style w:type="character" w:customStyle="1" w:styleId="TextonotapieCar">
    <w:name w:val="Texto nota pie Car"/>
    <w:basedOn w:val="Fuentedeprrafopredeter"/>
    <w:link w:val="Textonotapie"/>
    <w:uiPriority w:val="99"/>
    <w:semiHidden/>
    <w:rsid w:val="00DA286C"/>
    <w:rPr>
      <w:rFonts w:ascii="Verdana" w:eastAsia="Verdana" w:hAnsi="Verdana" w:cs="Verdana"/>
      <w:sz w:val="20"/>
      <w:szCs w:val="20"/>
      <w:lang w:val="es-ES"/>
    </w:rPr>
  </w:style>
  <w:style w:type="character" w:styleId="Refdenotaalpie">
    <w:name w:val="footnote reference"/>
    <w:basedOn w:val="Fuentedeprrafopredeter"/>
    <w:uiPriority w:val="99"/>
    <w:semiHidden/>
    <w:unhideWhenUsed/>
    <w:rsid w:val="00DA286C"/>
    <w:rPr>
      <w:vertAlign w:val="superscript"/>
    </w:rPr>
  </w:style>
  <w:style w:type="character" w:styleId="Hipervnculo">
    <w:name w:val="Hyperlink"/>
    <w:basedOn w:val="Fuentedeprrafopredeter"/>
    <w:uiPriority w:val="99"/>
    <w:unhideWhenUsed/>
    <w:rsid w:val="00DA286C"/>
    <w:rPr>
      <w:color w:val="0000FF" w:themeColor="hyperlink"/>
      <w:u w:val="single"/>
    </w:rPr>
  </w:style>
  <w:style w:type="character" w:customStyle="1" w:styleId="Mencinsinresolver1">
    <w:name w:val="Mención sin resolver1"/>
    <w:basedOn w:val="Fuentedeprrafopredeter"/>
    <w:uiPriority w:val="99"/>
    <w:semiHidden/>
    <w:unhideWhenUsed/>
    <w:rsid w:val="00DA286C"/>
    <w:rPr>
      <w:color w:val="605E5C"/>
      <w:shd w:val="clear" w:color="auto" w:fill="E1DFDD"/>
    </w:rPr>
  </w:style>
  <w:style w:type="paragraph" w:styleId="Textodeglobo">
    <w:name w:val="Balloon Text"/>
    <w:basedOn w:val="Normal"/>
    <w:link w:val="TextodegloboCar"/>
    <w:uiPriority w:val="99"/>
    <w:semiHidden/>
    <w:unhideWhenUsed/>
    <w:rsid w:val="00D240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0CC"/>
    <w:rPr>
      <w:rFonts w:ascii="Segoe UI" w:eastAsia="Verdana" w:hAnsi="Segoe UI" w:cs="Segoe UI"/>
      <w:sz w:val="18"/>
      <w:szCs w:val="18"/>
      <w:lang w:val="es-ES"/>
    </w:rPr>
  </w:style>
  <w:style w:type="character" w:styleId="Mencinsinresolver">
    <w:name w:val="Unresolved Mention"/>
    <w:basedOn w:val="Fuentedeprrafopredeter"/>
    <w:uiPriority w:val="99"/>
    <w:semiHidden/>
    <w:unhideWhenUsed/>
    <w:rsid w:val="004B40B9"/>
    <w:rPr>
      <w:color w:val="605E5C"/>
      <w:shd w:val="clear" w:color="auto" w:fill="E1DFDD"/>
    </w:rPr>
  </w:style>
  <w:style w:type="paragraph" w:styleId="Sinespaciado">
    <w:name w:val="No Spacing"/>
    <w:uiPriority w:val="1"/>
    <w:qFormat/>
    <w:rsid w:val="007B6172"/>
    <w:pPr>
      <w:widowControl/>
      <w:autoSpaceDE/>
      <w:autoSpaceDN/>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1646">
      <w:bodyDiv w:val="1"/>
      <w:marLeft w:val="0"/>
      <w:marRight w:val="0"/>
      <w:marTop w:val="0"/>
      <w:marBottom w:val="0"/>
      <w:divBdr>
        <w:top w:val="none" w:sz="0" w:space="0" w:color="auto"/>
        <w:left w:val="none" w:sz="0" w:space="0" w:color="auto"/>
        <w:bottom w:val="none" w:sz="0" w:space="0" w:color="auto"/>
        <w:right w:val="none" w:sz="0" w:space="0" w:color="auto"/>
      </w:divBdr>
    </w:div>
    <w:div w:id="1183741467">
      <w:bodyDiv w:val="1"/>
      <w:marLeft w:val="0"/>
      <w:marRight w:val="0"/>
      <w:marTop w:val="0"/>
      <w:marBottom w:val="0"/>
      <w:divBdr>
        <w:top w:val="none" w:sz="0" w:space="0" w:color="auto"/>
        <w:left w:val="none" w:sz="0" w:space="0" w:color="auto"/>
        <w:bottom w:val="none" w:sz="0" w:space="0" w:color="auto"/>
        <w:right w:val="none" w:sz="0" w:space="0" w:color="auto"/>
      </w:divBdr>
    </w:div>
    <w:div w:id="1361465991">
      <w:bodyDiv w:val="1"/>
      <w:marLeft w:val="0"/>
      <w:marRight w:val="0"/>
      <w:marTop w:val="0"/>
      <w:marBottom w:val="0"/>
      <w:divBdr>
        <w:top w:val="none" w:sz="0" w:space="0" w:color="auto"/>
        <w:left w:val="none" w:sz="0" w:space="0" w:color="auto"/>
        <w:bottom w:val="none" w:sz="0" w:space="0" w:color="auto"/>
        <w:right w:val="none" w:sz="0" w:space="0" w:color="auto"/>
      </w:divBdr>
    </w:div>
    <w:div w:id="1663780506">
      <w:bodyDiv w:val="1"/>
      <w:marLeft w:val="0"/>
      <w:marRight w:val="0"/>
      <w:marTop w:val="0"/>
      <w:marBottom w:val="0"/>
      <w:divBdr>
        <w:top w:val="none" w:sz="0" w:space="0" w:color="auto"/>
        <w:left w:val="none" w:sz="0" w:space="0" w:color="auto"/>
        <w:bottom w:val="none" w:sz="0" w:space="0" w:color="auto"/>
        <w:right w:val="none" w:sz="0" w:space="0" w:color="auto"/>
      </w:divBdr>
      <w:divsChild>
        <w:div w:id="461963977">
          <w:marLeft w:val="0"/>
          <w:marRight w:val="0"/>
          <w:marTop w:val="0"/>
          <w:marBottom w:val="0"/>
          <w:divBdr>
            <w:top w:val="none" w:sz="0" w:space="0" w:color="auto"/>
            <w:left w:val="none" w:sz="0" w:space="0" w:color="auto"/>
            <w:bottom w:val="none" w:sz="0" w:space="0" w:color="auto"/>
            <w:right w:val="none" w:sz="0" w:space="0" w:color="auto"/>
          </w:divBdr>
          <w:divsChild>
            <w:div w:id="768308760">
              <w:marLeft w:val="0"/>
              <w:marRight w:val="0"/>
              <w:marTop w:val="0"/>
              <w:marBottom w:val="0"/>
              <w:divBdr>
                <w:top w:val="none" w:sz="0" w:space="0" w:color="auto"/>
                <w:left w:val="none" w:sz="0" w:space="0" w:color="auto"/>
                <w:bottom w:val="none" w:sz="0" w:space="0" w:color="auto"/>
                <w:right w:val="none" w:sz="0" w:space="0" w:color="auto"/>
              </w:divBdr>
            </w:div>
          </w:divsChild>
        </w:div>
        <w:div w:id="46072441">
          <w:marLeft w:val="0"/>
          <w:marRight w:val="0"/>
          <w:marTop w:val="0"/>
          <w:marBottom w:val="0"/>
          <w:divBdr>
            <w:top w:val="none" w:sz="0" w:space="0" w:color="auto"/>
            <w:left w:val="none" w:sz="0" w:space="0" w:color="auto"/>
            <w:bottom w:val="none" w:sz="0" w:space="0" w:color="auto"/>
            <w:right w:val="none" w:sz="0" w:space="0" w:color="auto"/>
          </w:divBdr>
          <w:divsChild>
            <w:div w:id="1777629631">
              <w:marLeft w:val="0"/>
              <w:marRight w:val="0"/>
              <w:marTop w:val="0"/>
              <w:marBottom w:val="0"/>
              <w:divBdr>
                <w:top w:val="none" w:sz="0" w:space="0" w:color="auto"/>
                <w:left w:val="none" w:sz="0" w:space="0" w:color="auto"/>
                <w:bottom w:val="none" w:sz="0" w:space="0" w:color="auto"/>
                <w:right w:val="none" w:sz="0" w:space="0" w:color="auto"/>
              </w:divBdr>
            </w:div>
            <w:div w:id="1258291324">
              <w:marLeft w:val="0"/>
              <w:marRight w:val="0"/>
              <w:marTop w:val="0"/>
              <w:marBottom w:val="0"/>
              <w:divBdr>
                <w:top w:val="none" w:sz="0" w:space="0" w:color="auto"/>
                <w:left w:val="none" w:sz="0" w:space="0" w:color="auto"/>
                <w:bottom w:val="none" w:sz="0" w:space="0" w:color="auto"/>
                <w:right w:val="none" w:sz="0" w:space="0" w:color="auto"/>
              </w:divBdr>
            </w:div>
            <w:div w:id="331446898">
              <w:marLeft w:val="0"/>
              <w:marRight w:val="0"/>
              <w:marTop w:val="0"/>
              <w:marBottom w:val="0"/>
              <w:divBdr>
                <w:top w:val="none" w:sz="0" w:space="0" w:color="auto"/>
                <w:left w:val="none" w:sz="0" w:space="0" w:color="auto"/>
                <w:bottom w:val="none" w:sz="0" w:space="0" w:color="auto"/>
                <w:right w:val="none" w:sz="0" w:space="0" w:color="auto"/>
              </w:divBdr>
            </w:div>
          </w:divsChild>
        </w:div>
        <w:div w:id="343867474">
          <w:marLeft w:val="0"/>
          <w:marRight w:val="0"/>
          <w:marTop w:val="0"/>
          <w:marBottom w:val="0"/>
          <w:divBdr>
            <w:top w:val="none" w:sz="0" w:space="0" w:color="auto"/>
            <w:left w:val="none" w:sz="0" w:space="0" w:color="auto"/>
            <w:bottom w:val="none" w:sz="0" w:space="0" w:color="auto"/>
            <w:right w:val="none" w:sz="0" w:space="0" w:color="auto"/>
          </w:divBdr>
          <w:divsChild>
            <w:div w:id="1930506969">
              <w:marLeft w:val="0"/>
              <w:marRight w:val="0"/>
              <w:marTop w:val="0"/>
              <w:marBottom w:val="0"/>
              <w:divBdr>
                <w:top w:val="none" w:sz="0" w:space="0" w:color="auto"/>
                <w:left w:val="none" w:sz="0" w:space="0" w:color="auto"/>
                <w:bottom w:val="none" w:sz="0" w:space="0" w:color="auto"/>
                <w:right w:val="none" w:sz="0" w:space="0" w:color="auto"/>
              </w:divBdr>
            </w:div>
            <w:div w:id="1413044992">
              <w:marLeft w:val="0"/>
              <w:marRight w:val="0"/>
              <w:marTop w:val="0"/>
              <w:marBottom w:val="0"/>
              <w:divBdr>
                <w:top w:val="none" w:sz="0" w:space="0" w:color="auto"/>
                <w:left w:val="none" w:sz="0" w:space="0" w:color="auto"/>
                <w:bottom w:val="none" w:sz="0" w:space="0" w:color="auto"/>
                <w:right w:val="none" w:sz="0" w:space="0" w:color="auto"/>
              </w:divBdr>
            </w:div>
            <w:div w:id="826358141">
              <w:marLeft w:val="0"/>
              <w:marRight w:val="0"/>
              <w:marTop w:val="0"/>
              <w:marBottom w:val="0"/>
              <w:divBdr>
                <w:top w:val="none" w:sz="0" w:space="0" w:color="auto"/>
                <w:left w:val="none" w:sz="0" w:space="0" w:color="auto"/>
                <w:bottom w:val="none" w:sz="0" w:space="0" w:color="auto"/>
                <w:right w:val="none" w:sz="0" w:space="0" w:color="auto"/>
              </w:divBdr>
            </w:div>
          </w:divsChild>
        </w:div>
        <w:div w:id="1212309353">
          <w:marLeft w:val="0"/>
          <w:marRight w:val="0"/>
          <w:marTop w:val="0"/>
          <w:marBottom w:val="0"/>
          <w:divBdr>
            <w:top w:val="none" w:sz="0" w:space="0" w:color="auto"/>
            <w:left w:val="none" w:sz="0" w:space="0" w:color="auto"/>
            <w:bottom w:val="none" w:sz="0" w:space="0" w:color="auto"/>
            <w:right w:val="none" w:sz="0" w:space="0" w:color="auto"/>
          </w:divBdr>
        </w:div>
        <w:div w:id="1470631650">
          <w:marLeft w:val="0"/>
          <w:marRight w:val="0"/>
          <w:marTop w:val="0"/>
          <w:marBottom w:val="0"/>
          <w:divBdr>
            <w:top w:val="none" w:sz="0" w:space="0" w:color="auto"/>
            <w:left w:val="none" w:sz="0" w:space="0" w:color="auto"/>
            <w:bottom w:val="none" w:sz="0" w:space="0" w:color="auto"/>
            <w:right w:val="none" w:sz="0" w:space="0" w:color="auto"/>
          </w:divBdr>
        </w:div>
        <w:div w:id="279386965">
          <w:marLeft w:val="0"/>
          <w:marRight w:val="0"/>
          <w:marTop w:val="0"/>
          <w:marBottom w:val="0"/>
          <w:divBdr>
            <w:top w:val="none" w:sz="0" w:space="0" w:color="auto"/>
            <w:left w:val="none" w:sz="0" w:space="0" w:color="auto"/>
            <w:bottom w:val="none" w:sz="0" w:space="0" w:color="auto"/>
            <w:right w:val="none" w:sz="0" w:space="0" w:color="auto"/>
          </w:divBdr>
        </w:div>
        <w:div w:id="787241212">
          <w:marLeft w:val="0"/>
          <w:marRight w:val="0"/>
          <w:marTop w:val="0"/>
          <w:marBottom w:val="0"/>
          <w:divBdr>
            <w:top w:val="none" w:sz="0" w:space="0" w:color="auto"/>
            <w:left w:val="none" w:sz="0" w:space="0" w:color="auto"/>
            <w:bottom w:val="none" w:sz="0" w:space="0" w:color="auto"/>
            <w:right w:val="none" w:sz="0" w:space="0" w:color="auto"/>
          </w:divBdr>
        </w:div>
      </w:divsChild>
    </w:div>
    <w:div w:id="1708872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cod/vig/codvig003.pdf" TargetMode="External"/><Relationship Id="rId3" Type="http://schemas.openxmlformats.org/officeDocument/2006/relationships/hyperlink" Target="http://www.internet2.scjn.gob.mx/red/constitucion/TI.html" TargetMode="External"/><Relationship Id="rId7" Type="http://schemas.openxmlformats.org/officeDocument/2006/relationships/hyperlink" Target="https://legislacion.edomex.gob.mx/sites/legislacion.edomex.gob.mx/files/files/pdf/cod/vig/codvig001.pdf" TargetMode="External"/><Relationship Id="rId2" Type="http://schemas.openxmlformats.org/officeDocument/2006/relationships/hyperlink" Target="https://legislacion.edomex.gob.mx/sites/legislacion.edomex.gob.mx/files/files/pdf/cod/vig/codvig001.pdf" TargetMode="External"/><Relationship Id="rId1" Type="http://schemas.openxmlformats.org/officeDocument/2006/relationships/hyperlink" Target="https://archivos.juridicas.unam.mx/www/bjv/libros/8/3915/6.pdf" TargetMode="External"/><Relationship Id="rId6" Type="http://schemas.openxmlformats.org/officeDocument/2006/relationships/hyperlink" Target="https://www.diputados.gob.mx/LeyesBiblio/pdf/CPEUM.pdf" TargetMode="External"/><Relationship Id="rId5" Type="http://schemas.openxmlformats.org/officeDocument/2006/relationships/hyperlink" Target="https://www.corteidh.or.cr/tablas/17229a.pdf" TargetMode="External"/><Relationship Id="rId4" Type="http://schemas.openxmlformats.org/officeDocument/2006/relationships/hyperlink" Target="https://www.ohchr.org/sites/default/files/UDHR/Documents/UDHR_Translations/spn.pdf" TargetMode="External"/><Relationship Id="rId9" Type="http://schemas.openxmlformats.org/officeDocument/2006/relationships/hyperlink" Target="https://sjf2.scjn.gob.mx/listado-resultado-te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2611F-D8F4-4BC7-8C65-31B4EDBF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4049</Words>
  <Characters>22271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PRODESK</cp:lastModifiedBy>
  <cp:revision>2</cp:revision>
  <cp:lastPrinted>2022-09-08T21:17:00Z</cp:lastPrinted>
  <dcterms:created xsi:type="dcterms:W3CDTF">2022-09-21T21:24:00Z</dcterms:created>
  <dcterms:modified xsi:type="dcterms:W3CDTF">2022-09-21T21:24:00Z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2019</vt:lpwstr>
  </property>
  <property fmtid="{D5CDD505-2E9C-101B-9397-08002B2CF9AE}" pid="4" name="LastSaved">
    <vt:filetime>2022-01-13T00:00:00Z</vt:filetime>
  </property>
</Properties>
</file>