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9AC" w:rsidRPr="000869AC" w:rsidRDefault="000869AC" w:rsidP="00286915">
      <w:pPr>
        <w:spacing w:line="240" w:lineRule="auto"/>
        <w:ind w:right="-58"/>
        <w:jc w:val="right"/>
        <w:rPr>
          <w:rFonts w:ascii="Arial" w:eastAsia="Calibri" w:hAnsi="Arial" w:cs="Arial"/>
          <w:bCs/>
          <w:sz w:val="24"/>
          <w:szCs w:val="24"/>
          <w:lang w:eastAsia="es-MX"/>
        </w:rPr>
      </w:pPr>
      <w:bookmarkStart w:id="0" w:name="_GoBack"/>
      <w:bookmarkEnd w:id="0"/>
      <w:r w:rsidRPr="000869AC">
        <w:rPr>
          <w:rFonts w:ascii="Arial" w:eastAsia="Calibri" w:hAnsi="Arial" w:cs="Arial"/>
          <w:bCs/>
          <w:sz w:val="24"/>
          <w:szCs w:val="24"/>
          <w:lang w:eastAsia="es-MX"/>
        </w:rPr>
        <w:t xml:space="preserve">Toluca de Lerdo, Estado de México, a 10 de noviembre de 2022 </w:t>
      </w:r>
    </w:p>
    <w:p w:rsidR="000869AC" w:rsidRPr="000869AC" w:rsidRDefault="000869AC" w:rsidP="00286915">
      <w:pPr>
        <w:spacing w:line="240" w:lineRule="auto"/>
        <w:jc w:val="center"/>
        <w:rPr>
          <w:rFonts w:ascii="Arial" w:eastAsia="Calibri" w:hAnsi="Arial" w:cs="Arial"/>
          <w:b/>
          <w:sz w:val="24"/>
          <w:szCs w:val="24"/>
          <w:lang w:eastAsia="es-MX"/>
        </w:rPr>
      </w:pPr>
    </w:p>
    <w:p w:rsidR="000869AC" w:rsidRPr="000869AC" w:rsidRDefault="000869AC" w:rsidP="00286915">
      <w:pPr>
        <w:spacing w:after="0" w:line="240" w:lineRule="auto"/>
        <w:rPr>
          <w:rFonts w:ascii="Arial" w:eastAsia="Arial Unicode MS" w:hAnsi="Arial" w:cs="Arial"/>
          <w:b/>
          <w:bCs/>
          <w:sz w:val="24"/>
          <w:szCs w:val="24"/>
          <w:lang w:eastAsia="zh-CN"/>
        </w:rPr>
      </w:pPr>
      <w:r w:rsidRPr="000869AC">
        <w:rPr>
          <w:rFonts w:ascii="Arial" w:eastAsia="Arial Unicode MS" w:hAnsi="Arial" w:cs="Arial"/>
          <w:b/>
          <w:bCs/>
          <w:sz w:val="24"/>
          <w:szCs w:val="24"/>
          <w:lang w:eastAsia="zh-CN"/>
        </w:rPr>
        <w:t>DIP. ENRIQUE JACOB ROCHA</w:t>
      </w:r>
    </w:p>
    <w:p w:rsidR="000869AC" w:rsidRPr="000869AC" w:rsidRDefault="000869AC" w:rsidP="00286915">
      <w:pPr>
        <w:spacing w:after="0" w:line="240" w:lineRule="auto"/>
        <w:rPr>
          <w:rFonts w:ascii="Arial" w:eastAsia="Arial Unicode MS" w:hAnsi="Arial" w:cs="Arial"/>
          <w:b/>
          <w:bCs/>
          <w:sz w:val="24"/>
          <w:szCs w:val="24"/>
          <w:lang w:eastAsia="zh-CN"/>
        </w:rPr>
      </w:pPr>
      <w:r w:rsidRPr="000869AC">
        <w:rPr>
          <w:rFonts w:ascii="Arial" w:eastAsia="Arial Unicode MS" w:hAnsi="Arial" w:cs="Arial"/>
          <w:b/>
          <w:bCs/>
          <w:sz w:val="24"/>
          <w:szCs w:val="24"/>
          <w:lang w:eastAsia="zh-CN"/>
        </w:rPr>
        <w:t xml:space="preserve">PRESIDENTE DE LA MESA DIRECTIVA DE </w:t>
      </w:r>
    </w:p>
    <w:p w:rsidR="000869AC" w:rsidRPr="000869AC" w:rsidRDefault="000869AC" w:rsidP="00286915">
      <w:pPr>
        <w:spacing w:after="0" w:line="240" w:lineRule="auto"/>
        <w:rPr>
          <w:rFonts w:ascii="Arial" w:eastAsia="Arial Unicode MS" w:hAnsi="Arial" w:cs="Arial"/>
          <w:b/>
          <w:bCs/>
          <w:sz w:val="24"/>
          <w:szCs w:val="24"/>
          <w:lang w:eastAsia="zh-CN"/>
        </w:rPr>
      </w:pPr>
      <w:r w:rsidRPr="000869AC">
        <w:rPr>
          <w:rFonts w:ascii="Arial" w:eastAsia="Arial Unicode MS" w:hAnsi="Arial" w:cs="Arial"/>
          <w:b/>
          <w:bCs/>
          <w:sz w:val="24"/>
          <w:szCs w:val="24"/>
          <w:lang w:eastAsia="zh-CN"/>
        </w:rPr>
        <w:t xml:space="preserve">LA H. LXI LEGISLATURA DEL ESTADO LIBRE </w:t>
      </w:r>
    </w:p>
    <w:p w:rsidR="000869AC" w:rsidRPr="000869AC" w:rsidRDefault="000869AC" w:rsidP="00286915">
      <w:pPr>
        <w:spacing w:after="0" w:line="240" w:lineRule="auto"/>
        <w:rPr>
          <w:rFonts w:ascii="Arial" w:eastAsia="Arial Unicode MS" w:hAnsi="Arial" w:cs="Arial"/>
          <w:b/>
          <w:bCs/>
          <w:sz w:val="24"/>
          <w:szCs w:val="24"/>
          <w:lang w:eastAsia="zh-CN"/>
        </w:rPr>
      </w:pPr>
      <w:r w:rsidRPr="000869AC">
        <w:rPr>
          <w:rFonts w:ascii="Arial" w:eastAsia="Arial Unicode MS" w:hAnsi="Arial" w:cs="Arial"/>
          <w:b/>
          <w:bCs/>
          <w:sz w:val="24"/>
          <w:szCs w:val="24"/>
          <w:lang w:eastAsia="zh-CN"/>
        </w:rPr>
        <w:t>Y SOBERANO DE MÉXICO</w:t>
      </w:r>
    </w:p>
    <w:p w:rsidR="000869AC" w:rsidRPr="000869AC" w:rsidRDefault="000869AC" w:rsidP="00286915">
      <w:pPr>
        <w:spacing w:after="0" w:line="240" w:lineRule="auto"/>
        <w:rPr>
          <w:rFonts w:ascii="Arial" w:eastAsiaTheme="minorEastAsia" w:hAnsi="Arial" w:cs="Arial"/>
          <w:sz w:val="24"/>
          <w:szCs w:val="24"/>
          <w:lang w:eastAsia="zh-CN"/>
        </w:rPr>
      </w:pPr>
      <w:r w:rsidRPr="000869AC">
        <w:rPr>
          <w:rFonts w:ascii="Arial" w:eastAsia="Arial Unicode MS" w:hAnsi="Arial" w:cs="Arial"/>
          <w:b/>
          <w:bCs/>
          <w:sz w:val="24"/>
          <w:szCs w:val="24"/>
          <w:lang w:eastAsia="zh-CN"/>
        </w:rPr>
        <w:t>P R E S E N T E.</w:t>
      </w:r>
    </w:p>
    <w:p w:rsidR="000869AC" w:rsidRPr="000869AC" w:rsidRDefault="000869AC" w:rsidP="00286915">
      <w:pPr>
        <w:spacing w:line="240" w:lineRule="auto"/>
        <w:jc w:val="both"/>
        <w:rPr>
          <w:rFonts w:ascii="Arial" w:eastAsiaTheme="minorEastAsia" w:hAnsi="Arial" w:cs="Arial"/>
          <w:sz w:val="24"/>
          <w:szCs w:val="24"/>
          <w:lang w:eastAsia="zh-CN"/>
        </w:rPr>
      </w:pPr>
    </w:p>
    <w:p w:rsidR="000869AC" w:rsidRPr="000869AC" w:rsidRDefault="000869AC" w:rsidP="00286915">
      <w:pPr>
        <w:spacing w:line="240" w:lineRule="auto"/>
        <w:jc w:val="both"/>
        <w:rPr>
          <w:rFonts w:ascii="Arial" w:eastAsia="Calibri" w:hAnsi="Arial" w:cs="Arial"/>
          <w:b/>
          <w:bCs/>
          <w:sz w:val="24"/>
          <w:szCs w:val="24"/>
          <w:lang w:val="es-ES"/>
        </w:rPr>
      </w:pPr>
      <w:r w:rsidRPr="000869AC">
        <w:rPr>
          <w:rFonts w:ascii="Arial" w:eastAsiaTheme="minorEastAsia" w:hAnsi="Arial" w:cs="Arial"/>
          <w:sz w:val="24"/>
          <w:szCs w:val="24"/>
          <w:lang w:eastAsia="zh-CN"/>
        </w:rPr>
        <w:t xml:space="preserve">Quienes suscriben la presente la Diputada María de los Ángeles Dávila Vargas y el Diputado Enrique Vargas del Villar, integrantes del Grupo Parlamentario del Partido Acción Nacional de la LXI Legislatura; con sustento en lo dispuesto por los artículos 116 de la Constitución Política de los Estados Unidos Mexicanos; 51 fracción II, 57, 61 fracción I y demás relativos aplicables de la Constitución Política del Estado Libre y Soberano de México; 28 fracción I, 30 y demás aplicables de la Ley Orgánica del Poder Legislativo del Estado Libre y Soberano de México, se presenta la </w:t>
      </w:r>
      <w:r w:rsidRPr="000869AC">
        <w:rPr>
          <w:rFonts w:ascii="Arial" w:eastAsia="Calibri" w:hAnsi="Arial" w:cs="Arial"/>
          <w:b/>
          <w:bCs/>
          <w:sz w:val="24"/>
          <w:szCs w:val="24"/>
          <w:lang w:val="es-ES"/>
        </w:rPr>
        <w:t xml:space="preserve">Iniciativa con Proyecto de Decreto por el que se reforman y  adicionan diversas disposiciones de la Ley de Acceso de las Mujeres a una Vida Libre de Violencia del Estado de México,  </w:t>
      </w:r>
      <w:r w:rsidRPr="000869AC">
        <w:rPr>
          <w:rFonts w:ascii="Arial" w:eastAsia="Calibri" w:hAnsi="Arial" w:cs="Arial"/>
          <w:bCs/>
          <w:sz w:val="24"/>
          <w:szCs w:val="24"/>
          <w:lang w:val="es-ES"/>
        </w:rPr>
        <w:t>de  acuerdo al siguiente</w:t>
      </w:r>
      <w:r w:rsidRPr="000869AC">
        <w:rPr>
          <w:rFonts w:ascii="Arial" w:eastAsia="Calibri" w:hAnsi="Arial" w:cs="Arial"/>
          <w:b/>
          <w:bCs/>
          <w:sz w:val="24"/>
          <w:szCs w:val="24"/>
          <w:lang w:val="es-ES"/>
        </w:rPr>
        <w:t xml:space="preserve">: </w:t>
      </w:r>
    </w:p>
    <w:p w:rsidR="000869AC" w:rsidRPr="000869AC" w:rsidRDefault="000869AC" w:rsidP="00286915">
      <w:pPr>
        <w:spacing w:line="240" w:lineRule="auto"/>
        <w:jc w:val="both"/>
        <w:rPr>
          <w:rFonts w:ascii="Arial" w:eastAsia="Calibri" w:hAnsi="Arial" w:cs="Arial"/>
          <w:b/>
          <w:bCs/>
          <w:sz w:val="24"/>
          <w:szCs w:val="24"/>
          <w:lang w:val="es-ES"/>
        </w:rPr>
      </w:pPr>
    </w:p>
    <w:p w:rsidR="000869AC" w:rsidRDefault="000869AC" w:rsidP="00286915">
      <w:pPr>
        <w:spacing w:line="240" w:lineRule="auto"/>
        <w:jc w:val="center"/>
        <w:rPr>
          <w:rFonts w:ascii="Arial" w:eastAsiaTheme="minorEastAsia" w:hAnsi="Arial" w:cs="Arial"/>
          <w:b/>
          <w:bCs/>
          <w:sz w:val="24"/>
          <w:szCs w:val="24"/>
          <w:lang w:eastAsia="zh-CN"/>
        </w:rPr>
      </w:pPr>
      <w:r w:rsidRPr="000869AC">
        <w:rPr>
          <w:rFonts w:ascii="Arial" w:eastAsiaTheme="minorEastAsia" w:hAnsi="Arial" w:cs="Arial"/>
          <w:b/>
          <w:bCs/>
          <w:sz w:val="24"/>
          <w:szCs w:val="24"/>
          <w:lang w:eastAsia="zh-CN"/>
        </w:rPr>
        <w:t>PLANTEAMIENTO DEL PROBLEMA:</w:t>
      </w:r>
    </w:p>
    <w:p w:rsidR="00286915" w:rsidRDefault="00286915" w:rsidP="00286915">
      <w:pPr>
        <w:spacing w:line="240" w:lineRule="auto"/>
        <w:jc w:val="both"/>
        <w:rPr>
          <w:rFonts w:ascii="Arial" w:eastAsiaTheme="minorEastAsia" w:hAnsi="Arial" w:cs="Arial"/>
          <w:b/>
          <w:bCs/>
          <w:sz w:val="24"/>
          <w:szCs w:val="24"/>
          <w:lang w:eastAsia="zh-CN"/>
        </w:rPr>
      </w:pPr>
    </w:p>
    <w:p w:rsidR="000869AC" w:rsidRDefault="000869AC" w:rsidP="00286915">
      <w:pPr>
        <w:spacing w:line="240" w:lineRule="auto"/>
        <w:jc w:val="both"/>
        <w:rPr>
          <w:rFonts w:ascii="Arial" w:eastAsiaTheme="minorEastAsia" w:hAnsi="Arial" w:cs="Arial"/>
          <w:sz w:val="24"/>
          <w:szCs w:val="24"/>
          <w:lang w:eastAsia="zh-CN"/>
        </w:rPr>
      </w:pPr>
      <w:r w:rsidRPr="000869AC">
        <w:rPr>
          <w:rFonts w:ascii="Arial" w:eastAsiaTheme="minorEastAsia" w:hAnsi="Arial" w:cs="Arial"/>
          <w:sz w:val="24"/>
          <w:szCs w:val="24"/>
          <w:lang w:eastAsia="zh-CN"/>
        </w:rPr>
        <w:t xml:space="preserve">En el siglo XXI, las mujeres han jugado un papel importante en todos los sectores de la economía pues son las que llevan el sustento a los hogares y cada vez van ocupando un mayor número de empleos privados y públicos, además de ser cabeza de las familias para sus hijos.  Sin embargo, así como la paridad de género ha tomado lugar en México, también han aumentado considerablemente los casos de violencia de género, lo que resulta más preocupante es que el Estado de México ocupa el primer lugar en los casos de incidencia de violencia de género. </w:t>
      </w:r>
    </w:p>
    <w:p w:rsidR="00286915" w:rsidRPr="000869AC" w:rsidRDefault="00286915" w:rsidP="00286915">
      <w:pPr>
        <w:spacing w:line="240" w:lineRule="auto"/>
        <w:jc w:val="both"/>
        <w:rPr>
          <w:rFonts w:ascii="Arial" w:eastAsiaTheme="minorEastAsia" w:hAnsi="Arial" w:cs="Arial"/>
          <w:sz w:val="24"/>
          <w:szCs w:val="24"/>
          <w:lang w:eastAsia="zh-CN"/>
        </w:rPr>
      </w:pPr>
    </w:p>
    <w:p w:rsidR="000869AC" w:rsidRDefault="000869AC" w:rsidP="00286915">
      <w:pPr>
        <w:spacing w:line="240" w:lineRule="auto"/>
        <w:jc w:val="both"/>
        <w:rPr>
          <w:rFonts w:ascii="Arial" w:eastAsiaTheme="minorEastAsia" w:hAnsi="Arial" w:cs="Arial"/>
          <w:sz w:val="24"/>
          <w:szCs w:val="24"/>
          <w:lang w:eastAsia="zh-CN"/>
        </w:rPr>
      </w:pPr>
      <w:r w:rsidRPr="000869AC">
        <w:rPr>
          <w:rFonts w:ascii="Arial" w:eastAsiaTheme="minorEastAsia" w:hAnsi="Arial" w:cs="Arial"/>
          <w:sz w:val="24"/>
          <w:szCs w:val="24"/>
          <w:lang w:eastAsia="zh-CN"/>
        </w:rPr>
        <w:t xml:space="preserve">Entendemos que, de acuerdo a la Ley de Acceso de las Mujeres a una Vida Libre de Violencia del Estado de México, la Violencia de Género es el conjunto de amenazas, agravios, maltrato, lesiones y daños asociados a la exclusión, la subordinación, la discriminación y la explotación de las mujeres y las niñas y que es consubstancial a la opresión de género en todas sus modalidades. La violencia de género contra las mujeres </w:t>
      </w:r>
      <w:r w:rsidRPr="000869AC">
        <w:rPr>
          <w:rFonts w:ascii="Arial" w:eastAsiaTheme="minorEastAsia" w:hAnsi="Arial" w:cs="Arial"/>
          <w:sz w:val="24"/>
          <w:szCs w:val="24"/>
          <w:lang w:eastAsia="zh-CN"/>
        </w:rPr>
        <w:lastRenderedPageBreak/>
        <w:t>y las niñas involucra tanto a las personas como a la sociedad en sus distintas formas y organizaciones, comunidades, relaciones, prácticas e instituciones sociales y al Estado que la reproduce al no garantizar la igualdad, al perpetuar formas legales, jurídicas, judiciales, políticas androcéntricas y de jerarquía de género y al no dar garantías de seguridad a las mujeres.</w:t>
      </w:r>
      <w:r w:rsidRPr="000869AC">
        <w:rPr>
          <w:rFonts w:ascii="Arial" w:eastAsiaTheme="minorEastAsia" w:hAnsi="Arial" w:cs="Arial"/>
          <w:sz w:val="24"/>
          <w:szCs w:val="24"/>
          <w:vertAlign w:val="superscript"/>
          <w:lang w:val="en-US" w:eastAsia="zh-CN"/>
        </w:rPr>
        <w:footnoteReference w:id="1"/>
      </w:r>
    </w:p>
    <w:p w:rsidR="00286915" w:rsidRPr="000869AC" w:rsidRDefault="00286915" w:rsidP="00286915">
      <w:pPr>
        <w:spacing w:line="240" w:lineRule="auto"/>
        <w:jc w:val="both"/>
        <w:rPr>
          <w:rFonts w:ascii="Arial" w:eastAsiaTheme="minorEastAsia" w:hAnsi="Arial" w:cs="Arial"/>
          <w:sz w:val="24"/>
          <w:szCs w:val="24"/>
          <w:lang w:eastAsia="zh-CN"/>
        </w:rPr>
      </w:pPr>
    </w:p>
    <w:p w:rsidR="000869AC" w:rsidRDefault="000869AC" w:rsidP="00286915">
      <w:pPr>
        <w:spacing w:line="240" w:lineRule="auto"/>
        <w:jc w:val="both"/>
        <w:rPr>
          <w:rFonts w:ascii="Arial" w:eastAsiaTheme="minorEastAsia" w:hAnsi="Arial" w:cs="Arial"/>
          <w:sz w:val="24"/>
          <w:szCs w:val="24"/>
          <w:lang w:eastAsia="zh-CN"/>
        </w:rPr>
      </w:pPr>
      <w:r w:rsidRPr="000869AC">
        <w:rPr>
          <w:rFonts w:ascii="Arial" w:eastAsiaTheme="minorEastAsia" w:hAnsi="Arial" w:cs="Arial"/>
          <w:sz w:val="24"/>
          <w:szCs w:val="24"/>
          <w:lang w:eastAsia="zh-CN"/>
        </w:rPr>
        <w:t>La violencia de género se ejerce tanto en el ámbito privado como en el ámbito público manifestándose en diversos tipos y modalidades como la familiar, en la comunidad, institucional, laboral, docente, y en las relaciones afectivas.</w:t>
      </w:r>
    </w:p>
    <w:p w:rsidR="00286915" w:rsidRPr="000869AC" w:rsidRDefault="00286915" w:rsidP="00286915">
      <w:pPr>
        <w:spacing w:line="240" w:lineRule="auto"/>
        <w:jc w:val="both"/>
        <w:rPr>
          <w:rFonts w:ascii="Arial" w:eastAsiaTheme="minorEastAsia" w:hAnsi="Arial" w:cs="Arial"/>
          <w:sz w:val="24"/>
          <w:szCs w:val="24"/>
          <w:lang w:eastAsia="zh-CN"/>
        </w:rPr>
      </w:pPr>
    </w:p>
    <w:p w:rsidR="000869AC" w:rsidRDefault="000869AC" w:rsidP="00286915">
      <w:pPr>
        <w:spacing w:line="240" w:lineRule="auto"/>
        <w:jc w:val="both"/>
        <w:rPr>
          <w:rFonts w:ascii="Arial" w:eastAsiaTheme="minorEastAsia" w:hAnsi="Arial" w:cs="Arial"/>
          <w:sz w:val="24"/>
          <w:szCs w:val="24"/>
          <w:lang w:eastAsia="zh-CN"/>
        </w:rPr>
      </w:pPr>
      <w:r w:rsidRPr="000869AC">
        <w:rPr>
          <w:rFonts w:ascii="Arial" w:eastAsiaTheme="minorEastAsia" w:hAnsi="Arial" w:cs="Arial"/>
          <w:sz w:val="24"/>
          <w:szCs w:val="24"/>
          <w:lang w:eastAsia="zh-CN"/>
        </w:rPr>
        <w:t>Se plantea esta iniciativa al tenor de la siguiente:</w:t>
      </w:r>
    </w:p>
    <w:p w:rsidR="00286915" w:rsidRPr="000869AC" w:rsidRDefault="00286915" w:rsidP="00286915">
      <w:pPr>
        <w:spacing w:line="240" w:lineRule="auto"/>
        <w:jc w:val="both"/>
        <w:rPr>
          <w:rFonts w:ascii="Arial" w:eastAsiaTheme="minorEastAsia" w:hAnsi="Arial" w:cs="Arial"/>
          <w:sz w:val="24"/>
          <w:szCs w:val="24"/>
          <w:lang w:eastAsia="zh-CN"/>
        </w:rPr>
      </w:pPr>
    </w:p>
    <w:p w:rsidR="000869AC" w:rsidRDefault="000869AC" w:rsidP="00286915">
      <w:pPr>
        <w:spacing w:line="240" w:lineRule="auto"/>
        <w:jc w:val="center"/>
        <w:rPr>
          <w:rFonts w:ascii="Arial" w:eastAsiaTheme="minorEastAsia" w:hAnsi="Arial" w:cs="Arial"/>
          <w:b/>
          <w:bCs/>
          <w:sz w:val="24"/>
          <w:szCs w:val="24"/>
          <w:lang w:eastAsia="zh-CN"/>
        </w:rPr>
      </w:pPr>
      <w:r w:rsidRPr="000869AC">
        <w:rPr>
          <w:rFonts w:ascii="Arial" w:eastAsiaTheme="minorEastAsia" w:hAnsi="Arial" w:cs="Arial"/>
          <w:b/>
          <w:bCs/>
          <w:sz w:val="24"/>
          <w:szCs w:val="24"/>
          <w:lang w:eastAsia="zh-CN"/>
        </w:rPr>
        <w:t>EXPOSICIÓN DE MOTIVOS</w:t>
      </w:r>
    </w:p>
    <w:p w:rsidR="00286915" w:rsidRPr="000869AC" w:rsidRDefault="00286915" w:rsidP="00286915">
      <w:pPr>
        <w:spacing w:line="240" w:lineRule="auto"/>
        <w:jc w:val="center"/>
        <w:rPr>
          <w:rFonts w:ascii="Arial" w:eastAsiaTheme="minorEastAsia" w:hAnsi="Arial" w:cs="Arial"/>
          <w:b/>
          <w:bCs/>
          <w:sz w:val="24"/>
          <w:szCs w:val="24"/>
          <w:lang w:eastAsia="zh-CN"/>
        </w:rPr>
      </w:pPr>
    </w:p>
    <w:p w:rsidR="000869AC" w:rsidRDefault="000869AC" w:rsidP="00286915">
      <w:pPr>
        <w:spacing w:line="240" w:lineRule="auto"/>
        <w:jc w:val="both"/>
        <w:rPr>
          <w:rFonts w:ascii="Arial" w:eastAsiaTheme="minorEastAsia" w:hAnsi="Arial" w:cs="Arial"/>
          <w:sz w:val="24"/>
          <w:szCs w:val="24"/>
          <w:lang w:eastAsia="zh-CN"/>
        </w:rPr>
      </w:pPr>
      <w:r w:rsidRPr="000869AC">
        <w:rPr>
          <w:rFonts w:ascii="Arial" w:eastAsiaTheme="minorEastAsia" w:hAnsi="Arial" w:cs="Arial"/>
          <w:sz w:val="24"/>
          <w:szCs w:val="24"/>
          <w:lang w:eastAsia="zh-CN"/>
        </w:rPr>
        <w:t>De acuerdo con el Censo Nacional de Procuración de Justicia Estatal (CNPJE) en el año 2021 el delito de violencia familiar (al que se le considera una aproximación a la violencia contra las mujeres) registró la segunda mayor frecuencia en 2020, solo después del robo. Además, fue el único que presentó un aumento de 5.3% entre 2019 y 2020, mismo que podría atribuirse al periodo de confinamiento por COVID-19 durante 2020, ya que las mujeres, al permanecer más tiempo en sus hogares con otros miembros de su familia, se encontraron más expuestas a la violencia por parte de sus agresores.</w:t>
      </w:r>
      <w:r w:rsidRPr="000869AC">
        <w:rPr>
          <w:rFonts w:ascii="Arial" w:eastAsiaTheme="minorEastAsia" w:hAnsi="Arial" w:cs="Arial"/>
          <w:sz w:val="24"/>
          <w:szCs w:val="24"/>
          <w:vertAlign w:val="superscript"/>
          <w:lang w:val="en-US" w:eastAsia="zh-CN"/>
        </w:rPr>
        <w:footnoteReference w:id="2"/>
      </w:r>
    </w:p>
    <w:p w:rsidR="00286915" w:rsidRPr="000869AC" w:rsidRDefault="00286915" w:rsidP="00286915">
      <w:pPr>
        <w:spacing w:line="240" w:lineRule="auto"/>
        <w:jc w:val="both"/>
        <w:rPr>
          <w:rFonts w:ascii="Arial" w:eastAsiaTheme="minorEastAsia" w:hAnsi="Arial" w:cs="Arial"/>
          <w:sz w:val="24"/>
          <w:szCs w:val="24"/>
          <w:lang w:eastAsia="zh-CN"/>
        </w:rPr>
      </w:pPr>
    </w:p>
    <w:p w:rsidR="000869AC" w:rsidRDefault="000869AC" w:rsidP="00286915">
      <w:pPr>
        <w:spacing w:line="240" w:lineRule="auto"/>
        <w:jc w:val="both"/>
        <w:rPr>
          <w:rFonts w:ascii="Arial" w:eastAsiaTheme="minorEastAsia" w:hAnsi="Arial" w:cs="Arial"/>
          <w:sz w:val="24"/>
          <w:szCs w:val="24"/>
          <w:lang w:eastAsia="zh-CN"/>
        </w:rPr>
      </w:pPr>
      <w:r w:rsidRPr="000869AC">
        <w:rPr>
          <w:rFonts w:ascii="Arial" w:eastAsiaTheme="minorEastAsia" w:hAnsi="Arial" w:cs="Arial"/>
          <w:sz w:val="24"/>
          <w:szCs w:val="24"/>
          <w:lang w:eastAsia="zh-CN"/>
        </w:rPr>
        <w:t>Dando como resultado una mayor incidencia de violencia hacia las mujeres pues el confinamiento para algunas y algunos mexiquenses está latente y han ocurrido alguna vez lo que significa que puedan presentarse. Mujeres y niñas necesitan con urgencia ser atendidas y se ponga más énfasis en el apoyo a mujeres y niñas que ocupan se les prevea de las herramientas necesarias para evitar la violencia de género.</w:t>
      </w:r>
    </w:p>
    <w:p w:rsidR="00286915" w:rsidRPr="000869AC" w:rsidRDefault="00286915" w:rsidP="00286915">
      <w:pPr>
        <w:spacing w:line="240" w:lineRule="auto"/>
        <w:jc w:val="both"/>
        <w:rPr>
          <w:rFonts w:ascii="Arial" w:eastAsiaTheme="minorEastAsia" w:hAnsi="Arial" w:cs="Arial"/>
          <w:sz w:val="24"/>
          <w:szCs w:val="24"/>
          <w:lang w:eastAsia="zh-CN"/>
        </w:rPr>
      </w:pPr>
    </w:p>
    <w:p w:rsidR="000869AC" w:rsidRPr="000869AC" w:rsidRDefault="000869AC" w:rsidP="00286915">
      <w:pPr>
        <w:spacing w:line="240" w:lineRule="auto"/>
        <w:jc w:val="both"/>
        <w:rPr>
          <w:rFonts w:ascii="Arial" w:eastAsiaTheme="minorEastAsia" w:hAnsi="Arial" w:cs="Arial"/>
          <w:sz w:val="24"/>
          <w:szCs w:val="24"/>
          <w:vertAlign w:val="superscript"/>
          <w:lang w:eastAsia="zh-CN"/>
        </w:rPr>
      </w:pPr>
      <w:r w:rsidRPr="000869AC">
        <w:rPr>
          <w:rFonts w:ascii="Arial" w:eastAsiaTheme="minorEastAsia" w:hAnsi="Arial" w:cs="Arial"/>
          <w:sz w:val="24"/>
          <w:szCs w:val="24"/>
          <w:lang w:eastAsia="zh-CN"/>
        </w:rPr>
        <w:t xml:space="preserve">Se registran 273,903 delitos contra las mujeres en las investigaciones y carpetas de investigación abiertas y averiguaciones previas iniciadas en 2020, representan un 14.8% del total de delitos (1,856,805). </w:t>
      </w:r>
      <w:r w:rsidRPr="000869AC">
        <w:rPr>
          <w:rFonts w:ascii="Arial" w:eastAsiaTheme="minorEastAsia" w:hAnsi="Arial" w:cs="Arial"/>
          <w:sz w:val="24"/>
          <w:szCs w:val="24"/>
          <w:vertAlign w:val="superscript"/>
          <w:lang w:eastAsia="zh-CN"/>
        </w:rPr>
        <w:t>2</w:t>
      </w:r>
    </w:p>
    <w:p w:rsidR="000869AC" w:rsidRPr="000869AC" w:rsidRDefault="000869AC" w:rsidP="00286915">
      <w:pPr>
        <w:spacing w:line="240" w:lineRule="auto"/>
        <w:jc w:val="both"/>
        <w:rPr>
          <w:rFonts w:ascii="Arial" w:eastAsiaTheme="minorEastAsia" w:hAnsi="Arial" w:cs="Arial"/>
          <w:sz w:val="24"/>
          <w:szCs w:val="24"/>
          <w:vertAlign w:val="superscript"/>
          <w:lang w:eastAsia="zh-CN"/>
        </w:rPr>
      </w:pPr>
      <w:r w:rsidRPr="000869AC">
        <w:rPr>
          <w:rFonts w:ascii="Arial" w:eastAsiaTheme="minorEastAsia" w:hAnsi="Arial" w:cs="Arial"/>
          <w:sz w:val="24"/>
          <w:szCs w:val="24"/>
          <w:lang w:eastAsia="zh-CN"/>
        </w:rPr>
        <w:t xml:space="preserve">De estos, resalta que 80.4% corresponden a delitos de violencia familiar, donde la víctima más frecuente es una mujer. En un porcentaje significativamente menor se encuentran los delitos sexuales: abuso sexual (8.4%), violación simple/equiparada (6.6%), acoso sexual (2.0%) y hostigamiento sexual (0.7%). </w:t>
      </w:r>
    </w:p>
    <w:p w:rsidR="00286915" w:rsidRDefault="00286915" w:rsidP="00286915">
      <w:pPr>
        <w:spacing w:line="240" w:lineRule="auto"/>
        <w:jc w:val="both"/>
        <w:rPr>
          <w:rFonts w:ascii="Arial" w:eastAsiaTheme="minorEastAsia" w:hAnsi="Arial" w:cs="Arial"/>
          <w:sz w:val="24"/>
          <w:szCs w:val="24"/>
          <w:lang w:eastAsia="zh-CN"/>
        </w:rPr>
      </w:pPr>
    </w:p>
    <w:p w:rsidR="000869AC" w:rsidRDefault="000869AC" w:rsidP="00286915">
      <w:pPr>
        <w:spacing w:line="240" w:lineRule="auto"/>
        <w:jc w:val="both"/>
        <w:rPr>
          <w:rFonts w:ascii="Arial" w:eastAsiaTheme="minorEastAsia" w:hAnsi="Arial" w:cs="Arial"/>
          <w:sz w:val="24"/>
          <w:szCs w:val="24"/>
          <w:lang w:eastAsia="zh-CN"/>
        </w:rPr>
      </w:pPr>
      <w:r w:rsidRPr="000869AC">
        <w:rPr>
          <w:rFonts w:ascii="Arial" w:eastAsiaTheme="minorEastAsia" w:hAnsi="Arial" w:cs="Arial"/>
          <w:sz w:val="24"/>
          <w:szCs w:val="24"/>
          <w:lang w:eastAsia="zh-CN"/>
        </w:rPr>
        <w:t>Tristemente, el Estado de México ocupa el primer lugar a nivel nacional en violencia de género pues en el primer semestre de 2022 se sumaron 78 presuntos feminicidios de acuerdo con la información sobre Violencia contra las Mujeres, publicado por el Secretariado Ejecutivo del Sistema Nacional de Seguridad Pública (SESNSP); 22 municipios aparecieron en la lista de las 100 demarcaciones del país con mayor número de casos.</w:t>
      </w:r>
    </w:p>
    <w:p w:rsidR="000869AC" w:rsidRPr="000869AC" w:rsidRDefault="000869AC" w:rsidP="00286915">
      <w:pPr>
        <w:spacing w:line="240" w:lineRule="auto"/>
        <w:jc w:val="both"/>
        <w:rPr>
          <w:rFonts w:ascii="Arial" w:eastAsiaTheme="minorEastAsia" w:hAnsi="Arial" w:cs="Arial"/>
          <w:sz w:val="24"/>
          <w:szCs w:val="24"/>
          <w:lang w:eastAsia="zh-CN"/>
        </w:rPr>
      </w:pPr>
    </w:p>
    <w:p w:rsidR="000869AC" w:rsidRDefault="000869AC" w:rsidP="00286915">
      <w:pPr>
        <w:spacing w:line="240" w:lineRule="auto"/>
        <w:jc w:val="both"/>
        <w:rPr>
          <w:rFonts w:ascii="Arial" w:eastAsiaTheme="minorEastAsia" w:hAnsi="Arial" w:cs="Arial"/>
          <w:sz w:val="24"/>
          <w:szCs w:val="24"/>
          <w:lang w:eastAsia="zh-CN"/>
        </w:rPr>
      </w:pPr>
      <w:r w:rsidRPr="000869AC">
        <w:rPr>
          <w:rFonts w:ascii="Arial" w:eastAsiaTheme="minorEastAsia" w:hAnsi="Arial" w:cs="Arial"/>
          <w:sz w:val="24"/>
          <w:szCs w:val="24"/>
          <w:lang w:eastAsia="zh-CN"/>
        </w:rPr>
        <w:t>Con dicha cifra, la entidad mexiquense se posicionó en la de mayor número de presuntas muertes de mujeres por su condición de género en todo el país, seguido por Nuevo León con 58 casos, Veracruz con 43 y Ciudad de México con 32.</w:t>
      </w:r>
      <w:r w:rsidRPr="000869AC">
        <w:rPr>
          <w:rFonts w:ascii="Arial" w:eastAsiaTheme="minorEastAsia" w:hAnsi="Arial" w:cs="Arial"/>
          <w:sz w:val="24"/>
          <w:szCs w:val="24"/>
          <w:vertAlign w:val="superscript"/>
          <w:lang w:val="en-US" w:eastAsia="zh-CN"/>
        </w:rPr>
        <w:footnoteReference w:id="3"/>
      </w:r>
    </w:p>
    <w:p w:rsidR="001436C6" w:rsidRPr="000869AC" w:rsidRDefault="001436C6" w:rsidP="00286915">
      <w:pPr>
        <w:spacing w:line="240" w:lineRule="auto"/>
        <w:jc w:val="both"/>
        <w:rPr>
          <w:rFonts w:ascii="Arial" w:eastAsiaTheme="minorEastAsia" w:hAnsi="Arial" w:cs="Arial"/>
          <w:sz w:val="24"/>
          <w:szCs w:val="24"/>
          <w:lang w:eastAsia="zh-CN"/>
        </w:rPr>
      </w:pPr>
    </w:p>
    <w:p w:rsidR="000869AC" w:rsidRDefault="000869AC" w:rsidP="00286915">
      <w:pPr>
        <w:spacing w:line="240" w:lineRule="auto"/>
        <w:jc w:val="both"/>
        <w:rPr>
          <w:rFonts w:ascii="Arial" w:eastAsiaTheme="minorEastAsia" w:hAnsi="Arial" w:cs="Arial"/>
          <w:sz w:val="24"/>
          <w:szCs w:val="24"/>
          <w:lang w:eastAsia="zh-CN"/>
        </w:rPr>
      </w:pPr>
      <w:r w:rsidRPr="000869AC">
        <w:rPr>
          <w:rFonts w:ascii="Arial" w:eastAsiaTheme="minorEastAsia" w:hAnsi="Arial" w:cs="Arial"/>
          <w:sz w:val="24"/>
          <w:szCs w:val="24"/>
          <w:lang w:eastAsia="zh-CN"/>
        </w:rPr>
        <w:t xml:space="preserve">De acuerdo al registro del Secretariado Ejecutivo del Sistema Nacional de Seguridad Pública (SESNSP) en el Estado de México de enero a agosto del presente año, suman un total de 93 presuntas víctimas de feminicidio, 22 municipios están dentro de los 100 municipios con estas víctimas. Los cuales son: Chalco, Ecatepec, Tlalnepantla, Naucalpan, Atizapán, Chicoloapan, Lerma, Nicolás Romero, Amecameca, Chiconcuac, Chimalhuacán, El Oro, Huehuetoca, Melchor Ocampo, La Paz, Nezahualcóyotl, San Felipe del Progreso, Tecámac, Temoaya, Tultitlán, Zinacantepec, Zumpango; los últimos 15 municipios al menos suman dos posibles casos de feminicidio. </w:t>
      </w:r>
    </w:p>
    <w:p w:rsidR="001436C6" w:rsidRPr="000869AC" w:rsidRDefault="001436C6" w:rsidP="00286915">
      <w:pPr>
        <w:spacing w:line="240" w:lineRule="auto"/>
        <w:jc w:val="both"/>
        <w:rPr>
          <w:rFonts w:ascii="Arial" w:eastAsiaTheme="minorEastAsia" w:hAnsi="Arial" w:cs="Arial"/>
          <w:sz w:val="24"/>
          <w:szCs w:val="24"/>
          <w:lang w:eastAsia="zh-CN"/>
        </w:rPr>
      </w:pPr>
    </w:p>
    <w:p w:rsidR="000869AC" w:rsidRDefault="000869AC" w:rsidP="00286915">
      <w:pPr>
        <w:spacing w:line="240" w:lineRule="auto"/>
        <w:jc w:val="both"/>
        <w:rPr>
          <w:rFonts w:ascii="Arial" w:eastAsiaTheme="minorEastAsia" w:hAnsi="Arial" w:cs="Arial"/>
          <w:sz w:val="24"/>
          <w:szCs w:val="24"/>
          <w:lang w:eastAsia="zh-CN"/>
        </w:rPr>
      </w:pPr>
      <w:r w:rsidRPr="000869AC">
        <w:rPr>
          <w:rFonts w:ascii="Arial" w:eastAsiaTheme="minorEastAsia" w:hAnsi="Arial" w:cs="Arial"/>
          <w:sz w:val="24"/>
          <w:szCs w:val="24"/>
          <w:lang w:eastAsia="zh-CN"/>
        </w:rPr>
        <w:t xml:space="preserve">Resultados del último Censo Nacional de Procuración de Justicia Estatal (CNPJE) del Estado de México se registraron 171 presuntas víctimas mujeres de homicidio doloso y 189 víctimas de homicidio culposo. </w:t>
      </w:r>
    </w:p>
    <w:p w:rsidR="001436C6" w:rsidRPr="000869AC" w:rsidRDefault="001436C6" w:rsidP="00286915">
      <w:pPr>
        <w:spacing w:line="240" w:lineRule="auto"/>
        <w:jc w:val="both"/>
        <w:rPr>
          <w:rFonts w:ascii="Arial" w:eastAsiaTheme="minorEastAsia" w:hAnsi="Arial" w:cs="Arial"/>
          <w:sz w:val="24"/>
          <w:szCs w:val="24"/>
          <w:lang w:eastAsia="zh-CN"/>
        </w:rPr>
      </w:pPr>
    </w:p>
    <w:p w:rsidR="000869AC" w:rsidRDefault="000869AC" w:rsidP="00286915">
      <w:pPr>
        <w:spacing w:line="240" w:lineRule="auto"/>
        <w:jc w:val="both"/>
        <w:rPr>
          <w:rFonts w:ascii="Arial" w:eastAsiaTheme="minorEastAsia" w:hAnsi="Arial" w:cs="Arial"/>
          <w:sz w:val="24"/>
          <w:szCs w:val="24"/>
          <w:lang w:eastAsia="zh-CN"/>
        </w:rPr>
      </w:pPr>
      <w:r w:rsidRPr="000869AC">
        <w:rPr>
          <w:rFonts w:ascii="Arial" w:eastAsiaTheme="minorEastAsia" w:hAnsi="Arial" w:cs="Arial"/>
          <w:sz w:val="24"/>
          <w:szCs w:val="24"/>
          <w:lang w:eastAsia="zh-CN"/>
        </w:rPr>
        <w:t xml:space="preserve">Se registro un total de 10,491 lesiones dolosas y 3,117 lesiones culposas a mujeres víctimas de violencia de genero. </w:t>
      </w:r>
    </w:p>
    <w:p w:rsidR="001436C6" w:rsidRPr="000869AC" w:rsidRDefault="001436C6" w:rsidP="00286915">
      <w:pPr>
        <w:spacing w:line="240" w:lineRule="auto"/>
        <w:jc w:val="both"/>
        <w:rPr>
          <w:rFonts w:ascii="Arial" w:eastAsiaTheme="minorEastAsia" w:hAnsi="Arial" w:cs="Arial"/>
          <w:sz w:val="24"/>
          <w:szCs w:val="24"/>
          <w:lang w:eastAsia="zh-CN"/>
        </w:rPr>
      </w:pPr>
    </w:p>
    <w:p w:rsidR="000869AC" w:rsidRDefault="000869AC" w:rsidP="00286915">
      <w:pPr>
        <w:spacing w:line="240" w:lineRule="auto"/>
        <w:jc w:val="both"/>
        <w:rPr>
          <w:rFonts w:ascii="Arial" w:eastAsiaTheme="minorEastAsia" w:hAnsi="Arial" w:cs="Arial"/>
          <w:sz w:val="24"/>
          <w:szCs w:val="24"/>
          <w:lang w:eastAsia="zh-CN"/>
        </w:rPr>
      </w:pPr>
      <w:r w:rsidRPr="000869AC">
        <w:rPr>
          <w:rFonts w:ascii="Arial" w:eastAsiaTheme="minorEastAsia" w:hAnsi="Arial" w:cs="Arial"/>
          <w:sz w:val="24"/>
          <w:szCs w:val="24"/>
          <w:lang w:eastAsia="zh-CN"/>
        </w:rPr>
        <w:t xml:space="preserve">No olvidemos que los hogares son unos de los lugares donde las mujeres sufrimos más significativa la violencia de género, por esta razón, se suma un total de 1779 casos en los que hay presuntos delitos de violencia de género en todas sus modalidades distintas a la violencia familiar.   </w:t>
      </w:r>
    </w:p>
    <w:p w:rsidR="001436C6" w:rsidRPr="000869AC" w:rsidRDefault="001436C6" w:rsidP="00286915">
      <w:pPr>
        <w:spacing w:line="240" w:lineRule="auto"/>
        <w:jc w:val="both"/>
        <w:rPr>
          <w:rFonts w:ascii="Arial" w:eastAsiaTheme="minorEastAsia" w:hAnsi="Arial" w:cs="Arial"/>
          <w:sz w:val="24"/>
          <w:szCs w:val="24"/>
          <w:lang w:eastAsia="zh-CN"/>
        </w:rPr>
      </w:pPr>
    </w:p>
    <w:p w:rsidR="000869AC" w:rsidRDefault="000869AC" w:rsidP="00286915">
      <w:pPr>
        <w:spacing w:line="240" w:lineRule="auto"/>
        <w:jc w:val="both"/>
        <w:rPr>
          <w:rFonts w:ascii="Arial" w:eastAsiaTheme="minorEastAsia" w:hAnsi="Arial" w:cs="Arial"/>
          <w:sz w:val="24"/>
          <w:szCs w:val="24"/>
          <w:lang w:eastAsia="zh-CN"/>
        </w:rPr>
      </w:pPr>
      <w:r w:rsidRPr="000869AC">
        <w:rPr>
          <w:rFonts w:ascii="Arial" w:eastAsiaTheme="minorEastAsia" w:hAnsi="Arial" w:cs="Arial"/>
          <w:sz w:val="24"/>
          <w:szCs w:val="24"/>
          <w:lang w:eastAsia="zh-CN"/>
        </w:rPr>
        <w:t xml:space="preserve">Sin dunda son bastantes los municipios para un Estado donde existen casos de femicidio de enero a agosto de 2022. Esto no quiere decir que, en los municipios restantes, no existan casos de violencia de género, hay motivos suficientes donde las mujeres no tienen acceso a acusar o levantar una denuncia donde sustente la agresión, aunque cada vez se hace más notoria la agresión física, verbal y mental hacia las mujeres. </w:t>
      </w:r>
    </w:p>
    <w:p w:rsidR="001436C6" w:rsidRPr="000869AC" w:rsidRDefault="001436C6" w:rsidP="00286915">
      <w:pPr>
        <w:spacing w:line="240" w:lineRule="auto"/>
        <w:jc w:val="both"/>
        <w:rPr>
          <w:rFonts w:ascii="Arial" w:eastAsiaTheme="minorEastAsia" w:hAnsi="Arial" w:cs="Arial"/>
          <w:sz w:val="24"/>
          <w:szCs w:val="24"/>
          <w:lang w:eastAsia="zh-CN"/>
        </w:rPr>
      </w:pPr>
    </w:p>
    <w:p w:rsidR="000869AC" w:rsidRDefault="000869AC" w:rsidP="00286915">
      <w:pPr>
        <w:spacing w:beforeAutospacing="1" w:line="240" w:lineRule="auto"/>
        <w:jc w:val="both"/>
        <w:rPr>
          <w:rFonts w:ascii="Arial" w:eastAsia="Calibri" w:hAnsi="Arial" w:cs="Arial"/>
          <w:bCs/>
          <w:sz w:val="24"/>
          <w:szCs w:val="24"/>
        </w:rPr>
      </w:pPr>
      <w:r w:rsidRPr="000869AC">
        <w:rPr>
          <w:rFonts w:ascii="Arial" w:eastAsia="Calibri" w:hAnsi="Arial" w:cs="Arial"/>
          <w:bCs/>
          <w:sz w:val="24"/>
          <w:szCs w:val="24"/>
          <w:lang w:val="es-ES"/>
        </w:rPr>
        <w:t xml:space="preserve">Los datos </w:t>
      </w:r>
      <w:r w:rsidRPr="000869AC">
        <w:rPr>
          <w:rFonts w:ascii="Arial" w:eastAsia="Calibri" w:hAnsi="Arial" w:cs="Arial"/>
          <w:bCs/>
          <w:sz w:val="24"/>
          <w:szCs w:val="24"/>
        </w:rPr>
        <w:t>presentados señalan que cada año las agresiones aumentan en todo el Estado de México y</w:t>
      </w:r>
      <w:r w:rsidRPr="000869AC">
        <w:rPr>
          <w:rFonts w:ascii="Arial" w:eastAsia="Calibri" w:hAnsi="Arial" w:cs="Arial"/>
          <w:bCs/>
          <w:sz w:val="24"/>
          <w:szCs w:val="24"/>
          <w:lang w:val="es-ES"/>
        </w:rPr>
        <w:t xml:space="preserve"> la grave problemática que existe por lo cual se deben redoblar esfuerzos, revisando nuevamente las políticas aplicadas y evaluar la implementación de otras que atiendan </w:t>
      </w:r>
      <w:r w:rsidRPr="000869AC">
        <w:rPr>
          <w:rFonts w:ascii="Arial" w:eastAsia="Calibri" w:hAnsi="Arial" w:cs="Arial"/>
          <w:bCs/>
          <w:sz w:val="24"/>
          <w:szCs w:val="24"/>
        </w:rPr>
        <w:t xml:space="preserve">y prevengan </w:t>
      </w:r>
      <w:r w:rsidRPr="000869AC">
        <w:rPr>
          <w:rFonts w:ascii="Arial" w:eastAsia="Calibri" w:hAnsi="Arial" w:cs="Arial"/>
          <w:bCs/>
          <w:sz w:val="24"/>
          <w:szCs w:val="24"/>
          <w:lang w:val="es-ES"/>
        </w:rPr>
        <w:t xml:space="preserve">el problema, </w:t>
      </w:r>
      <w:r w:rsidRPr="000869AC">
        <w:rPr>
          <w:rFonts w:ascii="Arial" w:eastAsia="Calibri" w:hAnsi="Arial" w:cs="Arial"/>
          <w:bCs/>
          <w:sz w:val="24"/>
          <w:szCs w:val="24"/>
        </w:rPr>
        <w:t>dando un resultado efectivo a mediano o corto plazo.</w:t>
      </w:r>
    </w:p>
    <w:p w:rsidR="001436C6" w:rsidRPr="000869AC" w:rsidRDefault="001436C6" w:rsidP="00286915">
      <w:pPr>
        <w:spacing w:beforeAutospacing="1" w:line="240" w:lineRule="auto"/>
        <w:jc w:val="both"/>
        <w:rPr>
          <w:rFonts w:ascii="Arial" w:eastAsiaTheme="minorEastAsia" w:hAnsi="Arial" w:cs="Arial"/>
          <w:sz w:val="24"/>
          <w:szCs w:val="24"/>
          <w:lang w:eastAsia="zh-CN"/>
        </w:rPr>
      </w:pPr>
    </w:p>
    <w:p w:rsidR="000869AC" w:rsidRPr="000869AC" w:rsidRDefault="000869AC" w:rsidP="00286915">
      <w:pPr>
        <w:spacing w:line="240" w:lineRule="auto"/>
        <w:jc w:val="both"/>
        <w:rPr>
          <w:rFonts w:ascii="Arial" w:eastAsiaTheme="minorEastAsia" w:hAnsi="Arial" w:cs="Arial"/>
          <w:sz w:val="24"/>
          <w:szCs w:val="24"/>
          <w:lang w:eastAsia="zh-CN"/>
        </w:rPr>
      </w:pPr>
      <w:r w:rsidRPr="000869AC">
        <w:rPr>
          <w:rFonts w:ascii="Arial" w:eastAsiaTheme="minorEastAsia" w:hAnsi="Arial" w:cs="Arial"/>
          <w:sz w:val="24"/>
          <w:szCs w:val="24"/>
          <w:lang w:eastAsia="zh-CN"/>
        </w:rPr>
        <w:t>Por ello las y los Legisladores tenemos que sumar esfuerzos para que todos los municipios sean apoyados económicamente para poder erradicar y prevenir la violencia de género que cada día afecta a mujeres mexiquenses que piden a gritos ayuda y nuestro deber es salvaguardar su integridad y seguridad dentro del Estado de México.</w:t>
      </w:r>
    </w:p>
    <w:p w:rsidR="000869AC" w:rsidRPr="000869AC" w:rsidRDefault="000869AC" w:rsidP="00286915">
      <w:pPr>
        <w:spacing w:line="240" w:lineRule="auto"/>
        <w:jc w:val="both"/>
        <w:rPr>
          <w:rFonts w:ascii="Arial" w:eastAsiaTheme="minorEastAsia" w:hAnsi="Arial" w:cs="Arial"/>
          <w:sz w:val="24"/>
          <w:szCs w:val="24"/>
          <w:lang w:eastAsia="zh-CN"/>
        </w:rPr>
      </w:pPr>
    </w:p>
    <w:p w:rsidR="00286915" w:rsidRDefault="000869AC" w:rsidP="00286915">
      <w:pPr>
        <w:spacing w:beforeAutospacing="1" w:line="240" w:lineRule="auto"/>
        <w:jc w:val="both"/>
        <w:rPr>
          <w:rFonts w:ascii="Arial" w:eastAsia="Calibri" w:hAnsi="Arial" w:cs="Arial"/>
          <w:bCs/>
          <w:sz w:val="24"/>
          <w:szCs w:val="24"/>
        </w:rPr>
      </w:pPr>
      <w:r w:rsidRPr="000869AC">
        <w:rPr>
          <w:rFonts w:ascii="Arial" w:eastAsia="Calibri" w:hAnsi="Arial" w:cs="Arial"/>
          <w:bCs/>
          <w:sz w:val="24"/>
          <w:szCs w:val="24"/>
        </w:rPr>
        <w:t xml:space="preserve">Nos queda </w:t>
      </w:r>
      <w:proofErr w:type="spellStart"/>
      <w:r w:rsidRPr="000869AC">
        <w:rPr>
          <w:rFonts w:ascii="Arial" w:eastAsia="Calibri" w:hAnsi="Arial" w:cs="Arial"/>
          <w:bCs/>
          <w:sz w:val="24"/>
          <w:szCs w:val="24"/>
        </w:rPr>
        <w:t>clar</w:t>
      </w:r>
      <w:proofErr w:type="spellEnd"/>
      <w:r w:rsidRPr="000869AC">
        <w:rPr>
          <w:rFonts w:ascii="Arial" w:eastAsia="Calibri" w:hAnsi="Arial" w:cs="Arial"/>
          <w:bCs/>
          <w:sz w:val="24"/>
          <w:szCs w:val="24"/>
          <w:lang w:val="es-ES"/>
        </w:rPr>
        <w:t xml:space="preserve">o que no solo es responsabilidad de un solo nivel de gobierno, por lo cual se tiene que actuar en coordinación con los municipios, atendiendo </w:t>
      </w:r>
      <w:r w:rsidRPr="000869AC">
        <w:rPr>
          <w:rFonts w:ascii="Arial" w:eastAsia="Calibri" w:hAnsi="Arial" w:cs="Arial"/>
          <w:bCs/>
          <w:sz w:val="24"/>
          <w:szCs w:val="24"/>
        </w:rPr>
        <w:t>a</w:t>
      </w:r>
      <w:r w:rsidRPr="000869AC">
        <w:rPr>
          <w:rFonts w:ascii="Arial" w:eastAsia="Calibri" w:hAnsi="Arial" w:cs="Arial"/>
          <w:bCs/>
          <w:sz w:val="24"/>
          <w:szCs w:val="24"/>
          <w:lang w:val="es-ES"/>
        </w:rPr>
        <w:t xml:space="preserve"> cada uno de ellos a sus habitantes</w:t>
      </w:r>
      <w:r w:rsidRPr="000869AC">
        <w:rPr>
          <w:rFonts w:ascii="Arial" w:eastAsia="Calibri" w:hAnsi="Arial" w:cs="Arial"/>
          <w:bCs/>
          <w:sz w:val="24"/>
          <w:szCs w:val="24"/>
        </w:rPr>
        <w:t>.</w:t>
      </w:r>
    </w:p>
    <w:p w:rsidR="00286915" w:rsidRPr="00286915" w:rsidRDefault="00286915" w:rsidP="00286915">
      <w:pPr>
        <w:spacing w:beforeAutospacing="1" w:line="240" w:lineRule="auto"/>
        <w:jc w:val="both"/>
        <w:rPr>
          <w:rFonts w:ascii="Arial" w:eastAsia="Calibri" w:hAnsi="Arial" w:cs="Arial"/>
          <w:bCs/>
          <w:sz w:val="24"/>
          <w:szCs w:val="24"/>
        </w:rPr>
      </w:pPr>
    </w:p>
    <w:p w:rsidR="001436C6" w:rsidRPr="000869AC" w:rsidRDefault="000869AC" w:rsidP="00286915">
      <w:pPr>
        <w:spacing w:beforeAutospacing="1" w:line="240" w:lineRule="auto"/>
        <w:jc w:val="both"/>
        <w:rPr>
          <w:rFonts w:ascii="Arial" w:eastAsia="Calibri" w:hAnsi="Arial" w:cs="Arial"/>
          <w:bCs/>
          <w:sz w:val="24"/>
          <w:szCs w:val="24"/>
        </w:rPr>
      </w:pPr>
      <w:r w:rsidRPr="000869AC">
        <w:rPr>
          <w:rFonts w:ascii="Arial" w:eastAsia="Calibri" w:hAnsi="Arial" w:cs="Arial"/>
          <w:bCs/>
          <w:sz w:val="24"/>
          <w:szCs w:val="24"/>
          <w:lang w:val="es-ES"/>
        </w:rPr>
        <w:t>Sin embargo, la asignación de recursos que atienda directamente esta violencia flagrante a las mujeres</w:t>
      </w:r>
      <w:r w:rsidRPr="000869AC">
        <w:rPr>
          <w:rFonts w:ascii="Arial" w:eastAsia="Calibri" w:hAnsi="Arial" w:cs="Arial"/>
          <w:bCs/>
          <w:sz w:val="24"/>
          <w:szCs w:val="24"/>
        </w:rPr>
        <w:t xml:space="preserve"> no está otorgada a todos los municipios que comprende el Estado de México</w:t>
      </w:r>
      <w:r w:rsidRPr="000869AC">
        <w:rPr>
          <w:rFonts w:ascii="Arial" w:eastAsia="Calibri" w:hAnsi="Arial" w:cs="Arial"/>
          <w:bCs/>
          <w:sz w:val="24"/>
          <w:szCs w:val="24"/>
          <w:lang w:val="es-ES"/>
        </w:rPr>
        <w:t xml:space="preserve"> porque en la realidad no hay recursos suficientes que cubran las exigencias en esta materia,</w:t>
      </w:r>
      <w:r w:rsidRPr="000869AC">
        <w:rPr>
          <w:rFonts w:ascii="Arial" w:eastAsia="Calibri" w:hAnsi="Arial" w:cs="Arial"/>
          <w:bCs/>
          <w:sz w:val="24"/>
          <w:szCs w:val="24"/>
        </w:rPr>
        <w:t xml:space="preserve"> dejando en tela de juicio que debemos</w:t>
      </w:r>
      <w:r w:rsidRPr="000869AC">
        <w:rPr>
          <w:rFonts w:ascii="Arial" w:eastAsia="Calibri" w:hAnsi="Arial" w:cs="Arial"/>
          <w:bCs/>
          <w:sz w:val="24"/>
          <w:szCs w:val="24"/>
          <w:lang w:val="es-ES"/>
        </w:rPr>
        <w:t xml:space="preserve"> tomar conciencia de los requerimientos mínimos que deben existir para actuar</w:t>
      </w:r>
      <w:r w:rsidRPr="000869AC">
        <w:rPr>
          <w:rFonts w:ascii="Arial" w:eastAsia="Calibri" w:hAnsi="Arial" w:cs="Arial"/>
          <w:bCs/>
          <w:sz w:val="24"/>
          <w:szCs w:val="24"/>
        </w:rPr>
        <w:t>.</w:t>
      </w:r>
    </w:p>
    <w:p w:rsidR="00286915" w:rsidRDefault="000869AC" w:rsidP="00286915">
      <w:pPr>
        <w:spacing w:beforeAutospacing="1" w:line="240" w:lineRule="auto"/>
        <w:jc w:val="both"/>
        <w:rPr>
          <w:rFonts w:ascii="Arial" w:eastAsia="Calibri" w:hAnsi="Arial" w:cs="Arial"/>
          <w:bCs/>
          <w:sz w:val="24"/>
          <w:szCs w:val="24"/>
        </w:rPr>
      </w:pPr>
      <w:r w:rsidRPr="000869AC">
        <w:rPr>
          <w:rFonts w:ascii="Arial" w:eastAsia="Calibri" w:hAnsi="Arial" w:cs="Arial"/>
          <w:bCs/>
          <w:sz w:val="24"/>
          <w:szCs w:val="24"/>
        </w:rPr>
        <w:t>Para atender las importantes políticas públicas orientadas a garantizar la igualdad de género entre hombres y mujeres y que puedan gozar de las mismas oportunidades, condiciones y formas de trato similares, el gobierno estatal destinó recursos por 13,919 millones de pesos. El Presupuesto de Egresos tiene un enfoque con una visión de género, así como acciones derivaras de la Alerta de Violencia de Género Contra las Mujeres.</w:t>
      </w:r>
    </w:p>
    <w:p w:rsidR="00286915" w:rsidRPr="000869AC" w:rsidRDefault="00286915" w:rsidP="00286915">
      <w:pPr>
        <w:spacing w:beforeAutospacing="1" w:line="240" w:lineRule="auto"/>
        <w:jc w:val="both"/>
        <w:rPr>
          <w:rFonts w:ascii="Arial" w:eastAsia="Calibri" w:hAnsi="Arial" w:cs="Arial"/>
          <w:bCs/>
          <w:sz w:val="24"/>
          <w:szCs w:val="24"/>
        </w:rPr>
      </w:pPr>
    </w:p>
    <w:p w:rsidR="001436C6" w:rsidRDefault="000869AC" w:rsidP="00286915">
      <w:pPr>
        <w:spacing w:line="240" w:lineRule="auto"/>
        <w:jc w:val="both"/>
        <w:rPr>
          <w:rFonts w:ascii="Arial" w:eastAsiaTheme="minorEastAsia" w:hAnsi="Arial" w:cs="Arial"/>
          <w:sz w:val="24"/>
          <w:szCs w:val="24"/>
          <w:lang w:eastAsia="zh-CN"/>
        </w:rPr>
      </w:pPr>
      <w:r w:rsidRPr="000869AC">
        <w:rPr>
          <w:rFonts w:ascii="Arial" w:eastAsiaTheme="minorEastAsia" w:hAnsi="Arial" w:cs="Arial"/>
          <w:sz w:val="24"/>
          <w:szCs w:val="24"/>
          <w:lang w:eastAsia="zh-CN"/>
        </w:rPr>
        <w:t>De acuerdo a la Ley de Acceso a las mujeres a una Vida Libre de Violencia del Estado de México Artículo 33. Las políticas de Gobierno que las dependencias y organismos auxiliares del Estado de México deben diseñar, ejecutar y evaluar para la erradicación de la violencia contra las niñas, adolescentes y mujeres, promoviendo la cultura de respeto y equidad de género hacia ellas, serán el conjunto de orientaciones y directrices dictadas en sus diversas competencias, a fin de guiar las acciones dirigidas a asegurar los principios y derechos consagrados en la Ley, con la finalidad de abatir las desigualdades entre las mujeres y los hombres, e impulsar los derechos humanos de las mujeres y las niñas y su desarrollo pleno, teniendo carácter obligatorio.</w:t>
      </w:r>
      <w:r w:rsidRPr="000869AC">
        <w:rPr>
          <w:rFonts w:ascii="Arial" w:eastAsiaTheme="minorEastAsia" w:hAnsi="Arial" w:cs="Arial"/>
          <w:sz w:val="24"/>
          <w:szCs w:val="24"/>
          <w:vertAlign w:val="superscript"/>
          <w:lang w:eastAsia="zh-CN"/>
        </w:rPr>
        <w:footnoteReference w:id="4"/>
      </w:r>
    </w:p>
    <w:p w:rsidR="00286915" w:rsidRDefault="00286915" w:rsidP="00286915">
      <w:pPr>
        <w:spacing w:line="240" w:lineRule="auto"/>
        <w:jc w:val="both"/>
        <w:rPr>
          <w:rFonts w:ascii="Arial" w:eastAsiaTheme="minorEastAsia" w:hAnsi="Arial" w:cs="Arial"/>
          <w:sz w:val="24"/>
          <w:szCs w:val="24"/>
          <w:lang w:eastAsia="zh-CN"/>
        </w:rPr>
      </w:pPr>
    </w:p>
    <w:p w:rsidR="001436C6" w:rsidRDefault="000869AC" w:rsidP="00286915">
      <w:pPr>
        <w:spacing w:beforeAutospacing="1" w:line="240" w:lineRule="auto"/>
        <w:jc w:val="both"/>
        <w:rPr>
          <w:rFonts w:ascii="Arial" w:eastAsia="Calibri" w:hAnsi="Arial" w:cs="Arial"/>
          <w:bCs/>
          <w:sz w:val="24"/>
          <w:szCs w:val="24"/>
          <w:lang w:val="es-ES"/>
        </w:rPr>
      </w:pPr>
      <w:r w:rsidRPr="000869AC">
        <w:rPr>
          <w:rFonts w:ascii="Arial" w:eastAsia="Calibri" w:hAnsi="Arial" w:cs="Arial"/>
          <w:bCs/>
          <w:sz w:val="24"/>
          <w:szCs w:val="24"/>
        </w:rPr>
        <w:t xml:space="preserve">Tenemos </w:t>
      </w:r>
      <w:r w:rsidRPr="000869AC">
        <w:rPr>
          <w:rFonts w:ascii="Arial" w:eastAsia="Calibri" w:hAnsi="Arial" w:cs="Arial"/>
          <w:bCs/>
          <w:sz w:val="24"/>
          <w:szCs w:val="24"/>
          <w:lang w:val="es-ES"/>
        </w:rPr>
        <w:t>que buscar consensos, hacer conciencia en cada una de las bancadas que conforman la Legislatura</w:t>
      </w:r>
      <w:r w:rsidRPr="000869AC">
        <w:rPr>
          <w:rFonts w:ascii="Arial" w:eastAsia="Calibri" w:hAnsi="Arial" w:cs="Arial"/>
          <w:bCs/>
          <w:sz w:val="24"/>
          <w:szCs w:val="24"/>
        </w:rPr>
        <w:t xml:space="preserve"> y</w:t>
      </w:r>
      <w:r w:rsidRPr="000869AC">
        <w:rPr>
          <w:rFonts w:ascii="Arial" w:eastAsia="Calibri" w:hAnsi="Arial" w:cs="Arial"/>
          <w:bCs/>
          <w:sz w:val="24"/>
          <w:szCs w:val="24"/>
          <w:lang w:val="es-ES"/>
        </w:rPr>
        <w:t xml:space="preserve"> buscar mayores recursos que den pauta a la generación de resultados.</w:t>
      </w:r>
    </w:p>
    <w:p w:rsidR="00286915" w:rsidRDefault="00286915" w:rsidP="00286915">
      <w:pPr>
        <w:spacing w:beforeAutospacing="1" w:line="240" w:lineRule="auto"/>
        <w:jc w:val="both"/>
        <w:rPr>
          <w:rFonts w:ascii="Arial" w:eastAsia="Calibri" w:hAnsi="Arial" w:cs="Arial"/>
          <w:bCs/>
          <w:sz w:val="24"/>
          <w:szCs w:val="24"/>
          <w:lang w:val="es-ES"/>
        </w:rPr>
      </w:pPr>
    </w:p>
    <w:p w:rsidR="001436C6" w:rsidRDefault="000869AC" w:rsidP="00286915">
      <w:pPr>
        <w:spacing w:beforeAutospacing="1" w:line="240" w:lineRule="auto"/>
        <w:jc w:val="both"/>
        <w:rPr>
          <w:rFonts w:ascii="Arial" w:eastAsia="Calibri" w:hAnsi="Arial" w:cs="Arial"/>
          <w:bCs/>
          <w:sz w:val="24"/>
          <w:szCs w:val="24"/>
          <w:lang w:val="es-ES"/>
        </w:rPr>
      </w:pPr>
      <w:r w:rsidRPr="000869AC">
        <w:rPr>
          <w:rFonts w:ascii="Arial" w:eastAsia="Calibri" w:hAnsi="Arial" w:cs="Arial"/>
          <w:bCs/>
          <w:sz w:val="24"/>
          <w:szCs w:val="24"/>
        </w:rPr>
        <w:t>Esta</w:t>
      </w:r>
      <w:r w:rsidRPr="000869AC">
        <w:rPr>
          <w:rFonts w:ascii="Arial" w:eastAsia="Calibri" w:hAnsi="Arial" w:cs="Arial"/>
          <w:bCs/>
          <w:sz w:val="24"/>
          <w:szCs w:val="24"/>
          <w:lang w:val="es-ES"/>
        </w:rPr>
        <w:t xml:space="preserve"> propuesta</w:t>
      </w:r>
      <w:r w:rsidRPr="000869AC">
        <w:rPr>
          <w:rFonts w:ascii="Arial" w:eastAsia="Calibri" w:hAnsi="Arial" w:cs="Arial"/>
          <w:bCs/>
          <w:sz w:val="24"/>
          <w:szCs w:val="24"/>
        </w:rPr>
        <w:t xml:space="preserve"> plantea</w:t>
      </w:r>
      <w:r w:rsidRPr="000869AC">
        <w:rPr>
          <w:rFonts w:ascii="Arial" w:eastAsia="Calibri" w:hAnsi="Arial" w:cs="Arial"/>
          <w:bCs/>
          <w:sz w:val="24"/>
          <w:szCs w:val="24"/>
          <w:lang w:val="es-ES"/>
        </w:rPr>
        <w:t xml:space="preserve"> la creación de un Fondo para Prevenir y Atender la Violencia contra las Mujeres con el objetivo de brindar los recursos necesarios para la implementación de políticas y estrategias en la prevención y atención de la violencia contra las mujeres en los municipios de la entidad, quienes podrán acceder a dicho Fondo como respuesta a los índices registrados en su territorio. </w:t>
      </w:r>
    </w:p>
    <w:p w:rsidR="00286915" w:rsidRDefault="00286915" w:rsidP="00286915">
      <w:pPr>
        <w:spacing w:beforeAutospacing="1" w:line="240" w:lineRule="auto"/>
        <w:jc w:val="both"/>
        <w:rPr>
          <w:rFonts w:ascii="Arial" w:eastAsia="Calibri" w:hAnsi="Arial" w:cs="Arial"/>
          <w:bCs/>
          <w:sz w:val="24"/>
          <w:szCs w:val="24"/>
          <w:lang w:val="es-ES"/>
        </w:rPr>
      </w:pPr>
    </w:p>
    <w:p w:rsidR="001436C6" w:rsidRDefault="000869AC" w:rsidP="00286915">
      <w:pPr>
        <w:spacing w:beforeAutospacing="1" w:line="240" w:lineRule="auto"/>
        <w:jc w:val="both"/>
        <w:rPr>
          <w:rFonts w:ascii="Arial" w:eastAsia="Calibri" w:hAnsi="Arial" w:cs="Arial"/>
          <w:bCs/>
          <w:sz w:val="24"/>
          <w:szCs w:val="24"/>
          <w:lang w:val="es-ES"/>
        </w:rPr>
      </w:pPr>
      <w:r w:rsidRPr="000869AC">
        <w:rPr>
          <w:rFonts w:ascii="Arial" w:eastAsia="Calibri" w:hAnsi="Arial" w:cs="Arial"/>
          <w:bCs/>
          <w:sz w:val="24"/>
          <w:szCs w:val="24"/>
          <w:lang w:val="es-ES"/>
        </w:rPr>
        <w:t>Este fondo tiene incentivos para favorecer la disminución de los índices de violencia contra las mujeres, en consecuencia, los municipios estarán en posibilidad de continuar accediendo a los recursos dentro de cada ejercicio f</w:t>
      </w:r>
      <w:r w:rsidRPr="000869AC">
        <w:rPr>
          <w:rFonts w:ascii="Arial" w:eastAsia="Calibri" w:hAnsi="Arial" w:cs="Arial"/>
          <w:bCs/>
          <w:sz w:val="24"/>
          <w:szCs w:val="24"/>
        </w:rPr>
        <w:t xml:space="preserve">iscal </w:t>
      </w:r>
      <w:r w:rsidRPr="000869AC">
        <w:rPr>
          <w:rFonts w:ascii="Arial" w:eastAsia="Calibri" w:hAnsi="Arial" w:cs="Arial"/>
          <w:bCs/>
          <w:sz w:val="24"/>
          <w:szCs w:val="24"/>
          <w:lang w:val="es-ES"/>
        </w:rPr>
        <w:t xml:space="preserve">siempre y cuando los índices disminuyan. </w:t>
      </w:r>
    </w:p>
    <w:p w:rsidR="00286915" w:rsidRPr="000869AC" w:rsidRDefault="00286915" w:rsidP="00286915">
      <w:pPr>
        <w:spacing w:beforeAutospacing="1" w:line="240" w:lineRule="auto"/>
        <w:jc w:val="both"/>
        <w:rPr>
          <w:rFonts w:ascii="Arial" w:eastAsia="Calibri" w:hAnsi="Arial" w:cs="Arial"/>
          <w:bCs/>
          <w:sz w:val="24"/>
          <w:szCs w:val="24"/>
          <w:lang w:val="es-ES"/>
        </w:rPr>
      </w:pPr>
    </w:p>
    <w:p w:rsidR="001436C6" w:rsidRDefault="000869AC" w:rsidP="00286915">
      <w:pPr>
        <w:spacing w:beforeAutospacing="1" w:line="240" w:lineRule="auto"/>
        <w:jc w:val="both"/>
        <w:rPr>
          <w:rFonts w:ascii="Arial" w:eastAsia="Calibri" w:hAnsi="Arial" w:cs="Arial"/>
          <w:bCs/>
          <w:sz w:val="24"/>
          <w:szCs w:val="24"/>
          <w:lang w:val="es-ES"/>
        </w:rPr>
      </w:pPr>
      <w:r w:rsidRPr="000869AC">
        <w:rPr>
          <w:rFonts w:ascii="Arial" w:eastAsia="Calibri" w:hAnsi="Arial" w:cs="Arial"/>
          <w:bCs/>
          <w:sz w:val="24"/>
          <w:szCs w:val="24"/>
          <w:lang w:val="es-ES"/>
        </w:rPr>
        <w:t xml:space="preserve">Los recursos se pueden obtener de los excedentes que tiene la entidad, ya que, de acuerdo a la cuenta pública del Estado de México, el poder ejecutivo registro excedentes por 9 mil 24 millones de pesos y un subejercicio por 7 mil 839 millones de pesos, recursos que sin lugar a dudas pueden de ser utilizados para contrarrestar la alta incidencia delictiva por violencia contra las mujeres. </w:t>
      </w:r>
    </w:p>
    <w:p w:rsidR="00286915" w:rsidRPr="000869AC" w:rsidRDefault="00286915" w:rsidP="00286915">
      <w:pPr>
        <w:spacing w:beforeAutospacing="1" w:line="240" w:lineRule="auto"/>
        <w:jc w:val="both"/>
        <w:rPr>
          <w:rFonts w:ascii="Arial" w:eastAsia="Calibri" w:hAnsi="Arial" w:cs="Arial"/>
          <w:bCs/>
          <w:sz w:val="24"/>
          <w:szCs w:val="24"/>
          <w:lang w:val="es-ES"/>
        </w:rPr>
      </w:pPr>
    </w:p>
    <w:p w:rsidR="001436C6" w:rsidRDefault="000869AC" w:rsidP="00286915">
      <w:pPr>
        <w:spacing w:beforeAutospacing="1" w:line="240" w:lineRule="auto"/>
        <w:jc w:val="both"/>
        <w:rPr>
          <w:rFonts w:ascii="Arial" w:eastAsia="Calibri" w:hAnsi="Arial" w:cs="Arial"/>
          <w:bCs/>
          <w:sz w:val="24"/>
          <w:szCs w:val="24"/>
        </w:rPr>
      </w:pPr>
      <w:r w:rsidRPr="000869AC">
        <w:rPr>
          <w:rFonts w:ascii="Arial" w:eastAsia="Calibri" w:hAnsi="Arial" w:cs="Arial"/>
          <w:bCs/>
          <w:sz w:val="24"/>
          <w:szCs w:val="24"/>
        </w:rPr>
        <w:t>L</w:t>
      </w:r>
      <w:r w:rsidRPr="000869AC">
        <w:rPr>
          <w:rFonts w:ascii="Arial" w:eastAsia="Calibri" w:hAnsi="Arial" w:cs="Arial"/>
          <w:bCs/>
          <w:sz w:val="24"/>
          <w:szCs w:val="24"/>
          <w:lang w:val="es-ES"/>
        </w:rPr>
        <w:t xml:space="preserve">os avances en materia legislativa y de políticas públicas </w:t>
      </w:r>
      <w:r w:rsidRPr="000869AC">
        <w:rPr>
          <w:rFonts w:ascii="Arial" w:eastAsia="Calibri" w:hAnsi="Arial" w:cs="Arial"/>
          <w:bCs/>
          <w:sz w:val="24"/>
          <w:szCs w:val="24"/>
        </w:rPr>
        <w:t>enfocadas</w:t>
      </w:r>
      <w:r w:rsidRPr="000869AC">
        <w:rPr>
          <w:rFonts w:ascii="Arial" w:eastAsia="Calibri" w:hAnsi="Arial" w:cs="Arial"/>
          <w:bCs/>
          <w:sz w:val="24"/>
          <w:szCs w:val="24"/>
          <w:lang w:val="es-ES"/>
        </w:rPr>
        <w:t xml:space="preserve"> para erradicar la violencia hacia las mujeres, no ha</w:t>
      </w:r>
      <w:r w:rsidRPr="000869AC">
        <w:rPr>
          <w:rFonts w:ascii="Arial" w:eastAsia="Calibri" w:hAnsi="Arial" w:cs="Arial"/>
          <w:bCs/>
          <w:sz w:val="24"/>
          <w:szCs w:val="24"/>
        </w:rPr>
        <w:t>n</w:t>
      </w:r>
      <w:r w:rsidRPr="000869AC">
        <w:rPr>
          <w:rFonts w:ascii="Arial" w:eastAsia="Calibri" w:hAnsi="Arial" w:cs="Arial"/>
          <w:bCs/>
          <w:sz w:val="24"/>
          <w:szCs w:val="24"/>
          <w:lang w:val="es-ES"/>
        </w:rPr>
        <w:t xml:space="preserve"> logrado disminuir los altos niveles de violencia. Por </w:t>
      </w:r>
      <w:r w:rsidRPr="000869AC">
        <w:rPr>
          <w:rFonts w:ascii="Arial" w:eastAsia="Calibri" w:hAnsi="Arial" w:cs="Arial"/>
          <w:bCs/>
          <w:sz w:val="24"/>
          <w:szCs w:val="24"/>
        </w:rPr>
        <w:t>esta razón</w:t>
      </w:r>
      <w:r w:rsidRPr="000869AC">
        <w:rPr>
          <w:rFonts w:ascii="Arial" w:eastAsia="Calibri" w:hAnsi="Arial" w:cs="Arial"/>
          <w:bCs/>
          <w:sz w:val="24"/>
          <w:szCs w:val="24"/>
          <w:lang w:val="es-ES"/>
        </w:rPr>
        <w:t xml:space="preserve"> es necesario tomar medidas urgentes para proteger la integridad y salvaguardar los derechos de las mujeres</w:t>
      </w:r>
      <w:r w:rsidRPr="000869AC">
        <w:rPr>
          <w:rFonts w:ascii="Arial" w:eastAsia="Calibri" w:hAnsi="Arial" w:cs="Arial"/>
          <w:bCs/>
          <w:sz w:val="24"/>
          <w:szCs w:val="24"/>
        </w:rPr>
        <w:t xml:space="preserve"> adolescentes y niñas. </w:t>
      </w:r>
    </w:p>
    <w:p w:rsidR="00286915" w:rsidRPr="000869AC" w:rsidRDefault="00286915" w:rsidP="00286915">
      <w:pPr>
        <w:spacing w:beforeAutospacing="1" w:line="240" w:lineRule="auto"/>
        <w:jc w:val="both"/>
        <w:rPr>
          <w:rFonts w:ascii="Arial" w:eastAsia="Calibri" w:hAnsi="Arial" w:cs="Arial"/>
          <w:bCs/>
          <w:sz w:val="24"/>
          <w:szCs w:val="24"/>
        </w:rPr>
      </w:pPr>
    </w:p>
    <w:p w:rsidR="000869AC" w:rsidRPr="000869AC" w:rsidRDefault="000869AC" w:rsidP="00286915">
      <w:pPr>
        <w:spacing w:beforeAutospacing="1" w:line="240" w:lineRule="auto"/>
        <w:jc w:val="both"/>
        <w:rPr>
          <w:rFonts w:ascii="Arial" w:eastAsia="Calibri" w:hAnsi="Arial" w:cs="Arial"/>
          <w:bCs/>
          <w:sz w:val="24"/>
          <w:szCs w:val="24"/>
        </w:rPr>
      </w:pPr>
      <w:r w:rsidRPr="000869AC">
        <w:rPr>
          <w:rFonts w:ascii="Arial" w:eastAsia="Calibri" w:hAnsi="Arial" w:cs="Arial"/>
          <w:bCs/>
          <w:sz w:val="24"/>
          <w:szCs w:val="24"/>
        </w:rPr>
        <w:t>Por lo aquí expuesto, con el profundo deseo de construir un mejor Estado de México, se presenta esta propuesta de reforma con un espíritu social y de compromiso con todas y todos los mexiquenses, someto a consideración de esta honorable soberanía.</w:t>
      </w:r>
    </w:p>
    <w:p w:rsidR="00286915" w:rsidRDefault="00286915" w:rsidP="00286915">
      <w:pPr>
        <w:spacing w:line="240" w:lineRule="auto"/>
        <w:jc w:val="center"/>
        <w:rPr>
          <w:rFonts w:ascii="Arial" w:eastAsia="Calibri" w:hAnsi="Arial" w:cs="Arial"/>
          <w:b/>
          <w:sz w:val="24"/>
          <w:szCs w:val="24"/>
          <w:lang w:eastAsia="es-MX"/>
        </w:rPr>
      </w:pPr>
    </w:p>
    <w:p w:rsidR="000869AC" w:rsidRDefault="000869AC" w:rsidP="00286915">
      <w:pPr>
        <w:spacing w:line="240" w:lineRule="auto"/>
        <w:jc w:val="center"/>
        <w:rPr>
          <w:rFonts w:ascii="Arial" w:eastAsia="Calibri" w:hAnsi="Arial" w:cs="Arial"/>
          <w:b/>
          <w:sz w:val="24"/>
          <w:szCs w:val="24"/>
          <w:lang w:eastAsia="es-MX"/>
        </w:rPr>
      </w:pPr>
      <w:r w:rsidRPr="000869AC">
        <w:rPr>
          <w:rFonts w:ascii="Arial" w:eastAsia="Calibri" w:hAnsi="Arial" w:cs="Arial"/>
          <w:b/>
          <w:sz w:val="24"/>
          <w:szCs w:val="24"/>
          <w:lang w:eastAsia="es-MX"/>
        </w:rPr>
        <w:t>P R E S E N T A N T E S</w:t>
      </w:r>
    </w:p>
    <w:p w:rsidR="00286915" w:rsidRPr="000869AC" w:rsidRDefault="00286915" w:rsidP="00286915">
      <w:pPr>
        <w:spacing w:line="240" w:lineRule="auto"/>
        <w:jc w:val="center"/>
        <w:rPr>
          <w:rFonts w:ascii="Arial" w:eastAsia="Calibri" w:hAnsi="Arial" w:cs="Arial"/>
          <w:b/>
          <w:bCs/>
          <w:sz w:val="24"/>
          <w:szCs w:val="24"/>
          <w:lang w:eastAsia="es-MX"/>
        </w:rPr>
      </w:pPr>
      <w:r w:rsidRPr="000869AC">
        <w:rPr>
          <w:rFonts w:ascii="Arial" w:eastAsia="Calibri" w:hAnsi="Arial" w:cs="Arial"/>
          <w:b/>
          <w:bCs/>
          <w:sz w:val="24"/>
          <w:szCs w:val="24"/>
          <w:lang w:eastAsia="es-MX"/>
        </w:rPr>
        <w:t>INTEGRANTE DEL GRUPO PARLAMENTARIO DEL PARTIDO ACCIÓN NACIONAL</w:t>
      </w:r>
    </w:p>
    <w:p w:rsidR="00286915" w:rsidRDefault="00286915" w:rsidP="00286915">
      <w:pPr>
        <w:spacing w:line="240" w:lineRule="auto"/>
        <w:jc w:val="center"/>
        <w:rPr>
          <w:rFonts w:ascii="Arial" w:eastAsia="Calibri" w:hAnsi="Arial" w:cs="Arial"/>
          <w:b/>
          <w:sz w:val="24"/>
          <w:szCs w:val="24"/>
          <w:lang w:eastAsia="es-MX"/>
        </w:rPr>
      </w:pPr>
    </w:p>
    <w:p w:rsidR="00286915" w:rsidRDefault="00286915" w:rsidP="00286915">
      <w:pPr>
        <w:spacing w:line="240" w:lineRule="auto"/>
        <w:jc w:val="center"/>
        <w:rPr>
          <w:rFonts w:ascii="Arial" w:eastAsia="Calibri" w:hAnsi="Arial" w:cs="Arial"/>
          <w:b/>
          <w:sz w:val="24"/>
          <w:szCs w:val="24"/>
          <w:lang w:eastAsia="es-MX"/>
        </w:rPr>
      </w:pPr>
    </w:p>
    <w:p w:rsidR="00286915" w:rsidRDefault="00286915" w:rsidP="00286915">
      <w:pPr>
        <w:spacing w:line="240" w:lineRule="auto"/>
        <w:jc w:val="center"/>
        <w:rPr>
          <w:rFonts w:ascii="Arial" w:eastAsia="Calibri" w:hAnsi="Arial" w:cs="Arial"/>
          <w:b/>
          <w:sz w:val="24"/>
          <w:szCs w:val="24"/>
          <w:lang w:eastAsia="es-MX"/>
        </w:rPr>
      </w:pPr>
    </w:p>
    <w:p w:rsidR="000869AC" w:rsidRPr="000869AC" w:rsidRDefault="000869AC" w:rsidP="00286915">
      <w:pPr>
        <w:spacing w:line="240" w:lineRule="auto"/>
        <w:jc w:val="center"/>
        <w:rPr>
          <w:rFonts w:ascii="Arial" w:eastAsia="Calibri" w:hAnsi="Arial" w:cs="Arial"/>
          <w:b/>
          <w:sz w:val="24"/>
          <w:szCs w:val="24"/>
          <w:lang w:eastAsia="es-MX"/>
        </w:rPr>
      </w:pPr>
    </w:p>
    <w:p w:rsidR="000869AC" w:rsidRPr="000869AC" w:rsidRDefault="000869AC" w:rsidP="00286915">
      <w:pPr>
        <w:spacing w:line="240" w:lineRule="auto"/>
        <w:jc w:val="center"/>
        <w:rPr>
          <w:rFonts w:ascii="Arial" w:eastAsia="Calibri" w:hAnsi="Arial" w:cs="Arial"/>
          <w:b/>
          <w:sz w:val="24"/>
          <w:szCs w:val="24"/>
          <w:lang w:eastAsia="es-MX"/>
        </w:rPr>
      </w:pPr>
      <w:r w:rsidRPr="000869AC">
        <w:rPr>
          <w:rFonts w:ascii="Arial" w:eastAsia="Calibri" w:hAnsi="Arial" w:cs="Arial"/>
          <w:b/>
          <w:sz w:val="24"/>
          <w:szCs w:val="24"/>
          <w:lang w:eastAsia="es-MX"/>
        </w:rPr>
        <w:t>D</w:t>
      </w:r>
      <w:r w:rsidR="00286915">
        <w:rPr>
          <w:rFonts w:ascii="Arial" w:eastAsia="Calibri" w:hAnsi="Arial" w:cs="Arial"/>
          <w:b/>
          <w:sz w:val="24"/>
          <w:szCs w:val="24"/>
          <w:lang w:eastAsia="es-MX"/>
        </w:rPr>
        <w:t>IP.</w:t>
      </w:r>
      <w:r w:rsidRPr="000869AC">
        <w:rPr>
          <w:rFonts w:ascii="Arial" w:eastAsia="Calibri" w:hAnsi="Arial" w:cs="Arial"/>
          <w:b/>
          <w:sz w:val="24"/>
          <w:szCs w:val="24"/>
          <w:lang w:eastAsia="es-MX"/>
        </w:rPr>
        <w:t xml:space="preserve"> MARÍA DE LOS ÁNGELES DÁVILA VARGAS</w:t>
      </w:r>
    </w:p>
    <w:p w:rsidR="000869AC" w:rsidRPr="000869AC" w:rsidRDefault="000869AC" w:rsidP="00286915">
      <w:pPr>
        <w:spacing w:line="240" w:lineRule="auto"/>
        <w:jc w:val="center"/>
        <w:rPr>
          <w:rFonts w:ascii="Arial" w:eastAsia="Calibri" w:hAnsi="Arial" w:cs="Arial"/>
          <w:b/>
          <w:sz w:val="24"/>
          <w:szCs w:val="24"/>
          <w:lang w:eastAsia="es-MX"/>
        </w:rPr>
      </w:pPr>
    </w:p>
    <w:p w:rsidR="000869AC" w:rsidRDefault="000869AC" w:rsidP="00286915">
      <w:pPr>
        <w:spacing w:line="240" w:lineRule="auto"/>
        <w:jc w:val="center"/>
        <w:rPr>
          <w:rFonts w:ascii="Arial" w:eastAsia="Calibri" w:hAnsi="Arial" w:cs="Arial"/>
          <w:b/>
          <w:sz w:val="24"/>
          <w:szCs w:val="24"/>
          <w:lang w:eastAsia="es-MX"/>
        </w:rPr>
      </w:pPr>
    </w:p>
    <w:p w:rsidR="00286915" w:rsidRDefault="00286915" w:rsidP="00286915">
      <w:pPr>
        <w:spacing w:line="240" w:lineRule="auto"/>
        <w:jc w:val="center"/>
        <w:rPr>
          <w:rFonts w:ascii="Arial" w:eastAsia="Calibri" w:hAnsi="Arial" w:cs="Arial"/>
          <w:b/>
          <w:sz w:val="24"/>
          <w:szCs w:val="24"/>
          <w:lang w:eastAsia="es-MX"/>
        </w:rPr>
      </w:pPr>
    </w:p>
    <w:p w:rsidR="00286915" w:rsidRDefault="00286915" w:rsidP="00286915">
      <w:pPr>
        <w:spacing w:line="240" w:lineRule="auto"/>
        <w:jc w:val="center"/>
        <w:rPr>
          <w:rFonts w:ascii="Arial" w:eastAsia="Calibri" w:hAnsi="Arial" w:cs="Arial"/>
          <w:b/>
          <w:sz w:val="24"/>
          <w:szCs w:val="24"/>
          <w:lang w:eastAsia="es-MX"/>
        </w:rPr>
      </w:pPr>
    </w:p>
    <w:p w:rsidR="00286915" w:rsidRPr="000869AC" w:rsidRDefault="00286915" w:rsidP="00286915">
      <w:pPr>
        <w:spacing w:line="240" w:lineRule="auto"/>
        <w:jc w:val="center"/>
        <w:rPr>
          <w:rFonts w:ascii="Arial" w:eastAsia="Calibri" w:hAnsi="Arial" w:cs="Arial"/>
          <w:b/>
          <w:sz w:val="24"/>
          <w:szCs w:val="24"/>
          <w:lang w:eastAsia="es-MX"/>
        </w:rPr>
      </w:pPr>
    </w:p>
    <w:p w:rsidR="00286915" w:rsidRPr="00286915" w:rsidRDefault="000869AC" w:rsidP="00286915">
      <w:pPr>
        <w:spacing w:line="240" w:lineRule="auto"/>
        <w:jc w:val="center"/>
        <w:rPr>
          <w:rFonts w:ascii="Arial" w:eastAsia="Calibri" w:hAnsi="Arial" w:cs="Arial"/>
          <w:b/>
          <w:sz w:val="24"/>
          <w:szCs w:val="24"/>
          <w:lang w:eastAsia="es-MX"/>
        </w:rPr>
      </w:pPr>
      <w:r w:rsidRPr="000869AC">
        <w:rPr>
          <w:rFonts w:ascii="Arial" w:eastAsia="Calibri" w:hAnsi="Arial" w:cs="Arial"/>
          <w:b/>
          <w:sz w:val="24"/>
          <w:szCs w:val="24"/>
          <w:lang w:eastAsia="es-MX"/>
        </w:rPr>
        <w:t>DIP. ENRIQUE VARGAS DEL VILLAR</w:t>
      </w:r>
    </w:p>
    <w:p w:rsidR="000869AC" w:rsidRPr="000869AC" w:rsidRDefault="000869AC" w:rsidP="00286915">
      <w:pPr>
        <w:spacing w:line="240" w:lineRule="auto"/>
        <w:jc w:val="center"/>
        <w:rPr>
          <w:rFonts w:ascii="Arial" w:eastAsia="Arial Unicode MS" w:hAnsi="Arial" w:cs="Arial"/>
          <w:b/>
          <w:color w:val="000000"/>
          <w:sz w:val="24"/>
          <w:szCs w:val="24"/>
        </w:rPr>
      </w:pPr>
      <w:r w:rsidRPr="000869AC">
        <w:rPr>
          <w:rFonts w:ascii="Arial" w:eastAsia="Arial Unicode MS" w:hAnsi="Arial" w:cs="Arial"/>
          <w:b/>
          <w:color w:val="000000"/>
          <w:sz w:val="24"/>
          <w:szCs w:val="24"/>
        </w:rPr>
        <w:t>DECRETO</w:t>
      </w:r>
    </w:p>
    <w:p w:rsidR="000869AC" w:rsidRPr="000869AC" w:rsidRDefault="000869AC" w:rsidP="00286915">
      <w:pPr>
        <w:spacing w:line="240" w:lineRule="auto"/>
        <w:jc w:val="center"/>
        <w:rPr>
          <w:rFonts w:ascii="Arial" w:eastAsia="Arial Unicode MS" w:hAnsi="Arial" w:cs="Arial"/>
          <w:b/>
          <w:color w:val="000000"/>
          <w:sz w:val="24"/>
          <w:szCs w:val="24"/>
        </w:rPr>
      </w:pPr>
    </w:p>
    <w:p w:rsidR="000869AC" w:rsidRPr="000869AC" w:rsidRDefault="000869AC" w:rsidP="00286915">
      <w:pPr>
        <w:spacing w:line="240" w:lineRule="auto"/>
        <w:jc w:val="both"/>
        <w:rPr>
          <w:rFonts w:ascii="Arial" w:eastAsia="Arial Unicode MS" w:hAnsi="Arial" w:cs="Arial"/>
          <w:b/>
          <w:color w:val="000000"/>
          <w:sz w:val="24"/>
          <w:szCs w:val="24"/>
        </w:rPr>
      </w:pPr>
      <w:r w:rsidRPr="000869AC">
        <w:rPr>
          <w:rFonts w:ascii="Arial" w:eastAsia="Arial Unicode MS" w:hAnsi="Arial" w:cs="Arial"/>
          <w:b/>
          <w:color w:val="000000"/>
          <w:sz w:val="24"/>
          <w:szCs w:val="24"/>
        </w:rPr>
        <w:t>LA H. “LXI” LEGISLATURA DEL ESTADO DE MÉXICO</w:t>
      </w:r>
    </w:p>
    <w:p w:rsidR="000869AC" w:rsidRPr="000869AC" w:rsidRDefault="000869AC" w:rsidP="00286915">
      <w:pPr>
        <w:spacing w:line="240" w:lineRule="auto"/>
        <w:jc w:val="both"/>
        <w:rPr>
          <w:rFonts w:ascii="Arial" w:eastAsia="Arial Unicode MS" w:hAnsi="Arial" w:cs="Arial"/>
          <w:b/>
          <w:color w:val="000000"/>
          <w:sz w:val="24"/>
          <w:szCs w:val="24"/>
        </w:rPr>
      </w:pPr>
      <w:r w:rsidRPr="000869AC">
        <w:rPr>
          <w:rFonts w:ascii="Arial" w:eastAsia="Arial Unicode MS" w:hAnsi="Arial" w:cs="Arial"/>
          <w:b/>
          <w:color w:val="000000"/>
          <w:sz w:val="24"/>
          <w:szCs w:val="24"/>
        </w:rPr>
        <w:t>DECRETA:</w:t>
      </w:r>
    </w:p>
    <w:p w:rsidR="000869AC" w:rsidRPr="000869AC" w:rsidRDefault="000869AC" w:rsidP="00286915">
      <w:pPr>
        <w:spacing w:before="100" w:beforeAutospacing="1" w:line="240" w:lineRule="auto"/>
        <w:jc w:val="both"/>
        <w:rPr>
          <w:rFonts w:ascii="Arial" w:eastAsia="Calibri" w:hAnsi="Arial" w:cs="Arial"/>
          <w:sz w:val="24"/>
          <w:szCs w:val="24"/>
          <w:lang w:val="es-ES"/>
        </w:rPr>
      </w:pPr>
      <w:r w:rsidRPr="000869AC">
        <w:rPr>
          <w:rFonts w:ascii="Arial" w:eastAsia="Calibri" w:hAnsi="Arial" w:cs="Arial"/>
          <w:b/>
          <w:bCs/>
          <w:sz w:val="24"/>
          <w:szCs w:val="24"/>
          <w:lang w:val="es-ES"/>
        </w:rPr>
        <w:t xml:space="preserve">ARTÍCULO ÚNICO. - </w:t>
      </w:r>
      <w:r w:rsidRPr="000869AC">
        <w:rPr>
          <w:rFonts w:ascii="Arial" w:eastAsia="Calibri" w:hAnsi="Arial" w:cs="Arial"/>
          <w:sz w:val="24"/>
          <w:szCs w:val="24"/>
          <w:lang w:val="es-ES"/>
        </w:rPr>
        <w:t>Se adiciona la fracción XXIII del artículo 3; se crea el CAPÍTULO II BIS</w:t>
      </w:r>
      <w:r w:rsidRPr="000869AC">
        <w:rPr>
          <w:rFonts w:ascii="Arial" w:eastAsia="Calibri" w:hAnsi="Arial" w:cs="Arial"/>
          <w:sz w:val="24"/>
          <w:szCs w:val="24"/>
        </w:rPr>
        <w:t xml:space="preserve"> del título cuarto denominado DEL FONDO PARA PREVENIR Y ATENDER LA VIOLENCIA CONTRA LAS MUJERES; se adicionan los artículos </w:t>
      </w:r>
      <w:r w:rsidRPr="000869AC">
        <w:rPr>
          <w:rFonts w:ascii="Arial" w:eastAsia="Calibri" w:hAnsi="Arial" w:cs="Arial"/>
          <w:sz w:val="24"/>
          <w:szCs w:val="24"/>
          <w:lang w:val="es-ES"/>
        </w:rPr>
        <w:t>38 Bis y 38 Ter, todos</w:t>
      </w:r>
      <w:r w:rsidRPr="000869AC">
        <w:rPr>
          <w:rFonts w:ascii="Arial" w:eastAsia="Calibri" w:hAnsi="Arial" w:cs="Arial"/>
          <w:sz w:val="24"/>
          <w:szCs w:val="24"/>
        </w:rPr>
        <w:t xml:space="preserve"> de la </w:t>
      </w:r>
      <w:r w:rsidRPr="000869AC">
        <w:rPr>
          <w:rFonts w:ascii="Arial" w:eastAsia="Calibri" w:hAnsi="Arial" w:cs="Arial"/>
          <w:sz w:val="24"/>
          <w:szCs w:val="24"/>
          <w:lang w:val="es-ES"/>
        </w:rPr>
        <w:t>Ley de Acceso de las Mujeres a una Vida Libre de Violencia del Estado de México, para quedar como sigue:</w:t>
      </w:r>
    </w:p>
    <w:p w:rsidR="000869AC" w:rsidRPr="000869AC" w:rsidRDefault="000869AC" w:rsidP="00286915">
      <w:pPr>
        <w:spacing w:beforeAutospacing="1" w:line="240" w:lineRule="auto"/>
        <w:jc w:val="both"/>
        <w:rPr>
          <w:rFonts w:ascii="Arial" w:eastAsia="Calibri" w:hAnsi="Arial" w:cs="Arial"/>
          <w:bCs/>
          <w:sz w:val="24"/>
          <w:szCs w:val="24"/>
        </w:rPr>
      </w:pPr>
      <w:r w:rsidRPr="000869AC">
        <w:rPr>
          <w:rFonts w:ascii="Arial" w:eastAsia="Calibri" w:hAnsi="Arial" w:cs="Arial"/>
          <w:b/>
          <w:bCs/>
          <w:sz w:val="24"/>
          <w:szCs w:val="24"/>
        </w:rPr>
        <w:t xml:space="preserve">Artículo 3.- </w:t>
      </w:r>
      <w:r w:rsidRPr="000869AC">
        <w:rPr>
          <w:rFonts w:ascii="Arial" w:eastAsia="Calibri" w:hAnsi="Arial" w:cs="Arial"/>
          <w:bCs/>
          <w:sz w:val="24"/>
          <w:szCs w:val="24"/>
        </w:rPr>
        <w:t>Para los efectos de esta Ley, se entiende por:</w:t>
      </w:r>
    </w:p>
    <w:p w:rsidR="000869AC" w:rsidRPr="000869AC" w:rsidRDefault="000869AC" w:rsidP="00286915">
      <w:pPr>
        <w:spacing w:beforeAutospacing="1" w:line="240" w:lineRule="auto"/>
        <w:jc w:val="both"/>
        <w:rPr>
          <w:rFonts w:ascii="Arial" w:eastAsia="Calibri" w:hAnsi="Arial" w:cs="Arial"/>
          <w:bCs/>
          <w:sz w:val="24"/>
          <w:szCs w:val="24"/>
        </w:rPr>
      </w:pPr>
      <w:r w:rsidRPr="000869AC">
        <w:rPr>
          <w:rFonts w:ascii="Arial" w:eastAsia="Calibri" w:hAnsi="Arial" w:cs="Arial"/>
          <w:bCs/>
          <w:sz w:val="24"/>
          <w:szCs w:val="24"/>
        </w:rPr>
        <w:t xml:space="preserve">I. </w:t>
      </w:r>
      <w:r w:rsidRPr="000869AC">
        <w:rPr>
          <w:rFonts w:ascii="Arial" w:eastAsia="Calibri" w:hAnsi="Arial" w:cs="Arial"/>
          <w:bCs/>
          <w:sz w:val="24"/>
          <w:szCs w:val="24"/>
        </w:rPr>
        <w:tab/>
        <w:t>…</w:t>
      </w:r>
    </w:p>
    <w:p w:rsidR="000869AC" w:rsidRPr="000869AC" w:rsidRDefault="000869AC" w:rsidP="00286915">
      <w:pPr>
        <w:spacing w:beforeAutospacing="1" w:line="240" w:lineRule="auto"/>
        <w:jc w:val="both"/>
        <w:rPr>
          <w:rFonts w:ascii="Arial" w:eastAsia="Calibri" w:hAnsi="Arial" w:cs="Arial"/>
          <w:b/>
          <w:sz w:val="24"/>
          <w:szCs w:val="24"/>
          <w:lang w:val="es-ES"/>
        </w:rPr>
      </w:pPr>
      <w:r w:rsidRPr="000869AC">
        <w:rPr>
          <w:rFonts w:ascii="Arial" w:eastAsia="Calibri" w:hAnsi="Arial" w:cs="Arial"/>
          <w:b/>
          <w:sz w:val="24"/>
          <w:szCs w:val="24"/>
          <w:lang w:val="es-ES"/>
        </w:rPr>
        <w:t>XXIII. Fondo: Fondo para Prevenir y Atender la Violencia contra las Mujeres.</w:t>
      </w:r>
    </w:p>
    <w:p w:rsidR="000869AC" w:rsidRPr="000869AC" w:rsidRDefault="000869AC" w:rsidP="00286915">
      <w:pPr>
        <w:spacing w:beforeAutospacing="1" w:line="240" w:lineRule="auto"/>
        <w:jc w:val="center"/>
        <w:rPr>
          <w:rFonts w:ascii="Arial" w:eastAsia="Calibri" w:hAnsi="Arial" w:cs="Arial"/>
          <w:b/>
          <w:bCs/>
          <w:sz w:val="24"/>
          <w:szCs w:val="24"/>
        </w:rPr>
      </w:pPr>
      <w:r w:rsidRPr="000869AC">
        <w:rPr>
          <w:rFonts w:ascii="Arial" w:eastAsia="Calibri" w:hAnsi="Arial" w:cs="Arial"/>
          <w:b/>
          <w:bCs/>
          <w:sz w:val="24"/>
          <w:szCs w:val="24"/>
        </w:rPr>
        <w:t>CAPÍTULO II BIS</w:t>
      </w:r>
    </w:p>
    <w:p w:rsidR="000869AC" w:rsidRPr="000869AC" w:rsidRDefault="000869AC" w:rsidP="00286915">
      <w:pPr>
        <w:spacing w:beforeAutospacing="1" w:line="240" w:lineRule="auto"/>
        <w:jc w:val="center"/>
        <w:rPr>
          <w:rFonts w:ascii="Arial" w:eastAsia="Calibri" w:hAnsi="Arial" w:cs="Arial"/>
          <w:b/>
          <w:bCs/>
          <w:sz w:val="24"/>
          <w:szCs w:val="24"/>
        </w:rPr>
      </w:pPr>
      <w:r w:rsidRPr="000869AC">
        <w:rPr>
          <w:rFonts w:ascii="Arial" w:eastAsia="Calibri" w:hAnsi="Arial" w:cs="Arial"/>
          <w:b/>
          <w:bCs/>
          <w:sz w:val="24"/>
          <w:szCs w:val="24"/>
        </w:rPr>
        <w:t>DEL FONDO PARA</w:t>
      </w:r>
      <w:r w:rsidRPr="000869AC">
        <w:rPr>
          <w:rFonts w:ascii="Arial" w:eastAsia="Arial Unicode MS" w:hAnsi="Arial" w:cs="Arial"/>
          <w:sz w:val="24"/>
          <w:szCs w:val="24"/>
        </w:rPr>
        <w:t xml:space="preserve"> </w:t>
      </w:r>
      <w:r w:rsidRPr="000869AC">
        <w:rPr>
          <w:rFonts w:ascii="Arial" w:eastAsia="Calibri" w:hAnsi="Arial" w:cs="Arial"/>
          <w:b/>
          <w:bCs/>
          <w:sz w:val="24"/>
          <w:szCs w:val="24"/>
        </w:rPr>
        <w:t>PREVENIR Y ATENDER LA VIOLENCIA CONTRA LAS MUJERES</w:t>
      </w:r>
    </w:p>
    <w:p w:rsidR="000869AC" w:rsidRPr="000869AC" w:rsidRDefault="000869AC" w:rsidP="00286915">
      <w:pPr>
        <w:spacing w:beforeAutospacing="1" w:line="240" w:lineRule="auto"/>
        <w:jc w:val="both"/>
        <w:rPr>
          <w:rFonts w:ascii="Arial" w:eastAsia="Calibri" w:hAnsi="Arial" w:cs="Arial"/>
          <w:b/>
          <w:bCs/>
          <w:sz w:val="24"/>
          <w:szCs w:val="24"/>
        </w:rPr>
      </w:pPr>
      <w:r w:rsidRPr="000869AC">
        <w:rPr>
          <w:rFonts w:ascii="Arial" w:eastAsia="Calibri" w:hAnsi="Arial" w:cs="Arial"/>
          <w:b/>
          <w:bCs/>
          <w:sz w:val="24"/>
          <w:szCs w:val="24"/>
        </w:rPr>
        <w:t>Artículo 38 Bis. Se crea el Fondo con el objeto de brindar los recursos necesarios para la implementación de políticas y estrategias destinadas a la prevención y atención de la violencia contra las mujeres en cada uno de los municipios de la entidad.</w:t>
      </w:r>
    </w:p>
    <w:p w:rsidR="000869AC" w:rsidRPr="000869AC" w:rsidRDefault="000869AC" w:rsidP="00286915">
      <w:pPr>
        <w:spacing w:beforeAutospacing="1" w:line="240" w:lineRule="auto"/>
        <w:jc w:val="both"/>
        <w:rPr>
          <w:rFonts w:ascii="Arial" w:eastAsia="Calibri" w:hAnsi="Arial" w:cs="Arial"/>
          <w:b/>
          <w:bCs/>
          <w:sz w:val="24"/>
          <w:szCs w:val="24"/>
        </w:rPr>
      </w:pPr>
      <w:r w:rsidRPr="000869AC">
        <w:rPr>
          <w:rFonts w:ascii="Arial" w:eastAsia="Calibri" w:hAnsi="Arial" w:cs="Arial"/>
          <w:b/>
          <w:bCs/>
          <w:sz w:val="24"/>
          <w:szCs w:val="24"/>
        </w:rPr>
        <w:t>El Fondo, podrá conformarse también con recursos que aporten los organismos internacionales, los sectores público, social y privado.</w:t>
      </w:r>
    </w:p>
    <w:p w:rsidR="000869AC" w:rsidRPr="000869AC" w:rsidRDefault="000869AC" w:rsidP="00286915">
      <w:pPr>
        <w:spacing w:beforeAutospacing="1" w:line="240" w:lineRule="auto"/>
        <w:jc w:val="both"/>
        <w:rPr>
          <w:rFonts w:ascii="Arial" w:eastAsia="Calibri" w:hAnsi="Arial" w:cs="Arial"/>
          <w:b/>
          <w:bCs/>
          <w:sz w:val="24"/>
          <w:szCs w:val="24"/>
        </w:rPr>
      </w:pPr>
      <w:r w:rsidRPr="000869AC">
        <w:rPr>
          <w:rFonts w:ascii="Arial" w:eastAsia="Calibri" w:hAnsi="Arial" w:cs="Arial"/>
          <w:b/>
          <w:bCs/>
          <w:sz w:val="24"/>
          <w:szCs w:val="24"/>
        </w:rPr>
        <w:t>Artículo 38 ter. Los municipios de la entidad accederán al Fondo derivado de los índices de violencia contra las mujeres registrados en su territorio. Las reglas de operación determinarán los lineamientos para su utilización y criterios de aplicación.</w:t>
      </w:r>
    </w:p>
    <w:p w:rsidR="000869AC" w:rsidRPr="000869AC" w:rsidRDefault="000869AC" w:rsidP="00286915">
      <w:pPr>
        <w:spacing w:beforeAutospacing="1" w:line="240" w:lineRule="auto"/>
        <w:jc w:val="both"/>
        <w:rPr>
          <w:rFonts w:ascii="Arial" w:eastAsia="Calibri" w:hAnsi="Arial" w:cs="Arial"/>
          <w:b/>
          <w:bCs/>
          <w:sz w:val="24"/>
          <w:szCs w:val="24"/>
        </w:rPr>
      </w:pPr>
      <w:r w:rsidRPr="000869AC">
        <w:rPr>
          <w:rFonts w:ascii="Arial" w:eastAsia="Calibri" w:hAnsi="Arial" w:cs="Arial"/>
          <w:b/>
          <w:bCs/>
          <w:sz w:val="24"/>
          <w:szCs w:val="24"/>
        </w:rPr>
        <w:t xml:space="preserve">La aplicación eficiente del fondo que dé como resultado la disminución de los índices de violencia contra las mujeres, permitirá que los municipios accedan a los recursos en igual cantidad, y en caso de aumentar dichos índices los recursos disminuirán en los ejercicios fiscales posteriores. </w:t>
      </w:r>
    </w:p>
    <w:p w:rsidR="000869AC" w:rsidRPr="000869AC" w:rsidRDefault="000869AC" w:rsidP="00286915">
      <w:pPr>
        <w:spacing w:beforeAutospacing="1" w:line="240" w:lineRule="auto"/>
        <w:jc w:val="center"/>
        <w:rPr>
          <w:rFonts w:ascii="Arial" w:eastAsia="Calibri" w:hAnsi="Arial" w:cs="Arial"/>
          <w:b/>
          <w:bCs/>
          <w:sz w:val="24"/>
          <w:szCs w:val="24"/>
          <w:lang w:val="en-US"/>
        </w:rPr>
      </w:pPr>
    </w:p>
    <w:p w:rsidR="000869AC" w:rsidRPr="000869AC" w:rsidRDefault="000869AC" w:rsidP="00286915">
      <w:pPr>
        <w:spacing w:beforeAutospacing="1" w:line="240" w:lineRule="auto"/>
        <w:jc w:val="center"/>
        <w:rPr>
          <w:rFonts w:ascii="Arial" w:eastAsia="Calibri" w:hAnsi="Arial" w:cs="Arial"/>
          <w:b/>
          <w:bCs/>
          <w:sz w:val="24"/>
          <w:szCs w:val="24"/>
          <w:lang w:val="en-US"/>
        </w:rPr>
      </w:pPr>
      <w:r w:rsidRPr="000869AC">
        <w:rPr>
          <w:rFonts w:ascii="Arial" w:eastAsia="Calibri" w:hAnsi="Arial" w:cs="Arial"/>
          <w:b/>
          <w:bCs/>
          <w:sz w:val="24"/>
          <w:szCs w:val="24"/>
          <w:lang w:val="en-US"/>
        </w:rPr>
        <w:t xml:space="preserve">T R A N S I T O R I O S </w:t>
      </w:r>
    </w:p>
    <w:p w:rsidR="000869AC" w:rsidRPr="000869AC" w:rsidRDefault="000869AC" w:rsidP="00286915">
      <w:pPr>
        <w:spacing w:beforeAutospacing="1" w:line="240" w:lineRule="auto"/>
        <w:rPr>
          <w:rFonts w:ascii="Arial" w:eastAsia="Calibri" w:hAnsi="Arial" w:cs="Arial"/>
          <w:b/>
          <w:bCs/>
          <w:sz w:val="24"/>
          <w:szCs w:val="24"/>
          <w:lang w:val="es-ES"/>
        </w:rPr>
      </w:pPr>
      <w:r w:rsidRPr="000869AC">
        <w:rPr>
          <w:rFonts w:ascii="Arial" w:eastAsia="Calibri" w:hAnsi="Arial" w:cs="Arial"/>
          <w:b/>
          <w:bCs/>
          <w:sz w:val="24"/>
          <w:szCs w:val="24"/>
          <w:lang w:val="es-ES"/>
        </w:rPr>
        <w:t>PRIMERO. -</w:t>
      </w:r>
      <w:r w:rsidRPr="000869AC">
        <w:rPr>
          <w:rFonts w:ascii="Arial" w:eastAsia="Calibri" w:hAnsi="Arial" w:cs="Arial"/>
          <w:sz w:val="24"/>
          <w:szCs w:val="24"/>
          <w:lang w:val="es-ES"/>
        </w:rPr>
        <w:t xml:space="preserve"> Publíquese la presente reforma y adición, en el periódico oficial “Gaceta del Gobierno”.</w:t>
      </w:r>
    </w:p>
    <w:p w:rsidR="000869AC" w:rsidRPr="000869AC" w:rsidRDefault="000869AC" w:rsidP="00286915">
      <w:pPr>
        <w:spacing w:beforeAutospacing="1" w:line="240" w:lineRule="auto"/>
        <w:jc w:val="both"/>
        <w:rPr>
          <w:rFonts w:ascii="Arial" w:eastAsia="Calibri" w:hAnsi="Arial" w:cs="Arial"/>
          <w:sz w:val="24"/>
          <w:szCs w:val="24"/>
          <w:lang w:val="es-ES"/>
        </w:rPr>
      </w:pPr>
      <w:r w:rsidRPr="000869AC">
        <w:rPr>
          <w:rFonts w:ascii="Arial" w:eastAsia="Calibri" w:hAnsi="Arial" w:cs="Arial"/>
          <w:b/>
          <w:bCs/>
          <w:sz w:val="24"/>
          <w:szCs w:val="24"/>
          <w:lang w:val="es-ES"/>
        </w:rPr>
        <w:t xml:space="preserve">SEGUNDO. - </w:t>
      </w:r>
      <w:r w:rsidRPr="000869AC">
        <w:rPr>
          <w:rFonts w:ascii="Arial" w:eastAsia="Calibri" w:hAnsi="Arial" w:cs="Arial"/>
          <w:sz w:val="24"/>
          <w:szCs w:val="24"/>
          <w:lang w:val="es-ES"/>
        </w:rPr>
        <w:t xml:space="preserve">El presente decreto entrará en vigor al día siguiente de su publicación en el periódico “Gaceta del Gobierno”. </w:t>
      </w:r>
    </w:p>
    <w:p w:rsidR="000869AC" w:rsidRPr="000869AC" w:rsidRDefault="000869AC" w:rsidP="00286915">
      <w:pPr>
        <w:spacing w:beforeAutospacing="1" w:line="240" w:lineRule="auto"/>
        <w:jc w:val="both"/>
        <w:rPr>
          <w:rFonts w:ascii="Arial" w:eastAsia="Calibri" w:hAnsi="Arial" w:cs="Arial"/>
          <w:b/>
          <w:bCs/>
          <w:sz w:val="24"/>
          <w:szCs w:val="24"/>
        </w:rPr>
      </w:pPr>
      <w:r w:rsidRPr="000869AC">
        <w:rPr>
          <w:rFonts w:ascii="Arial" w:eastAsia="Calibri" w:hAnsi="Arial" w:cs="Arial"/>
          <w:b/>
          <w:sz w:val="24"/>
          <w:szCs w:val="24"/>
        </w:rPr>
        <w:t>TERCERO. -</w:t>
      </w:r>
      <w:r w:rsidRPr="000869AC">
        <w:rPr>
          <w:rFonts w:ascii="Arial" w:eastAsia="Calibri" w:hAnsi="Arial" w:cs="Arial"/>
          <w:sz w:val="24"/>
          <w:szCs w:val="24"/>
        </w:rPr>
        <w:t xml:space="preserve"> En el Presupuesto de Egresos del Gobierno del Estado de México del Ejercicio Fiscal posterior a la aprobación del presente decreto, se preverá el Fondo </w:t>
      </w:r>
      <w:r w:rsidRPr="000869AC">
        <w:rPr>
          <w:rFonts w:ascii="Arial" w:eastAsia="Calibri" w:hAnsi="Arial" w:cs="Arial"/>
          <w:bCs/>
          <w:sz w:val="24"/>
          <w:szCs w:val="24"/>
        </w:rPr>
        <w:t>para</w:t>
      </w:r>
      <w:r w:rsidRPr="000869AC">
        <w:rPr>
          <w:rFonts w:ascii="Arial" w:eastAsia="Calibri" w:hAnsi="Arial" w:cs="Arial"/>
          <w:sz w:val="24"/>
          <w:szCs w:val="24"/>
        </w:rPr>
        <w:t xml:space="preserve"> </w:t>
      </w:r>
      <w:r w:rsidRPr="000869AC">
        <w:rPr>
          <w:rFonts w:ascii="Arial" w:eastAsia="Calibri" w:hAnsi="Arial" w:cs="Arial"/>
          <w:bCs/>
          <w:sz w:val="24"/>
          <w:szCs w:val="24"/>
        </w:rPr>
        <w:t>Prevenir y Atender la Violencia contra las Mujeres</w:t>
      </w:r>
      <w:r w:rsidRPr="000869AC">
        <w:rPr>
          <w:rFonts w:ascii="Arial" w:eastAsia="Calibri" w:hAnsi="Arial" w:cs="Arial"/>
          <w:b/>
          <w:bCs/>
          <w:sz w:val="24"/>
          <w:szCs w:val="24"/>
        </w:rPr>
        <w:t>.</w:t>
      </w:r>
    </w:p>
    <w:p w:rsidR="000869AC" w:rsidRPr="000869AC" w:rsidRDefault="000869AC" w:rsidP="00286915">
      <w:pPr>
        <w:spacing w:beforeAutospacing="1" w:line="240" w:lineRule="auto"/>
        <w:jc w:val="both"/>
        <w:rPr>
          <w:rFonts w:ascii="Arial" w:eastAsia="Calibri" w:hAnsi="Arial" w:cs="Arial"/>
          <w:b/>
          <w:bCs/>
          <w:sz w:val="24"/>
          <w:szCs w:val="24"/>
        </w:rPr>
      </w:pPr>
      <w:r w:rsidRPr="000869AC">
        <w:rPr>
          <w:rFonts w:ascii="Arial" w:eastAsia="Calibri" w:hAnsi="Arial" w:cs="Arial"/>
          <w:b/>
          <w:bCs/>
          <w:sz w:val="24"/>
          <w:szCs w:val="24"/>
        </w:rPr>
        <w:t>CUARTO</w:t>
      </w:r>
      <w:r w:rsidRPr="000869AC">
        <w:rPr>
          <w:rFonts w:ascii="Arial" w:eastAsia="Calibri" w:hAnsi="Arial" w:cs="Arial"/>
          <w:bCs/>
          <w:sz w:val="24"/>
          <w:szCs w:val="24"/>
        </w:rPr>
        <w:t xml:space="preserve">. - El Gobierno del Estado </w:t>
      </w:r>
      <w:r w:rsidRPr="000869AC">
        <w:rPr>
          <w:rFonts w:ascii="Arial" w:eastAsia="Calibri" w:hAnsi="Arial" w:cs="Arial"/>
          <w:sz w:val="24"/>
          <w:szCs w:val="24"/>
        </w:rPr>
        <w:t xml:space="preserve">determinará las reglas de operación para la distribución y aplicación del fondo, las cuales serán publicadas a más tardar al 31 de enero del ejercicio fiscal correspondiente.  </w:t>
      </w:r>
    </w:p>
    <w:p w:rsidR="000869AC" w:rsidRPr="000869AC" w:rsidRDefault="000869AC" w:rsidP="00286915">
      <w:pPr>
        <w:spacing w:beforeAutospacing="1" w:line="240" w:lineRule="auto"/>
        <w:rPr>
          <w:rFonts w:ascii="Arial" w:eastAsia="Calibri" w:hAnsi="Arial" w:cs="Arial"/>
          <w:b/>
          <w:bCs/>
          <w:sz w:val="24"/>
          <w:szCs w:val="24"/>
          <w:lang w:val="es-ES"/>
        </w:rPr>
      </w:pPr>
      <w:r w:rsidRPr="000869AC">
        <w:rPr>
          <w:rFonts w:ascii="Arial" w:eastAsia="Calibri" w:hAnsi="Arial" w:cs="Arial"/>
          <w:sz w:val="24"/>
          <w:szCs w:val="24"/>
          <w:lang w:val="es-ES"/>
        </w:rPr>
        <w:t>Lo tendrá entendido el Gobernador del Estado, haciendo que se publique y se cumpla.</w:t>
      </w:r>
    </w:p>
    <w:p w:rsidR="000869AC" w:rsidRPr="000869AC" w:rsidRDefault="000869AC" w:rsidP="00286915">
      <w:pPr>
        <w:shd w:val="clear" w:color="auto" w:fill="FFFFFF"/>
        <w:spacing w:before="100" w:beforeAutospacing="1" w:line="240" w:lineRule="auto"/>
        <w:contextualSpacing/>
        <w:jc w:val="both"/>
        <w:rPr>
          <w:rFonts w:ascii="Arial" w:eastAsia="Arial" w:hAnsi="Arial" w:cs="Arial"/>
          <w:b/>
          <w:bCs/>
          <w:sz w:val="24"/>
          <w:szCs w:val="24"/>
          <w:lang w:val="es-ES"/>
        </w:rPr>
      </w:pPr>
      <w:r w:rsidRPr="000869AC">
        <w:rPr>
          <w:rFonts w:ascii="Arial" w:eastAsia="Calibri" w:hAnsi="Arial" w:cs="Arial"/>
          <w:sz w:val="24"/>
          <w:szCs w:val="24"/>
          <w:lang w:eastAsia="es-MX"/>
        </w:rPr>
        <w:t>Dado en el Palacio del Poder Legislativo, en la ciudad de Toluca de Lerdo, capital del Estado de México, a los</w:t>
      </w:r>
      <w:r w:rsidR="001436C6">
        <w:rPr>
          <w:rFonts w:ascii="Arial" w:eastAsia="Calibri" w:hAnsi="Arial" w:cs="Arial"/>
          <w:sz w:val="24"/>
          <w:szCs w:val="24"/>
          <w:lang w:eastAsia="es-MX"/>
        </w:rPr>
        <w:t xml:space="preserve"> diez</w:t>
      </w:r>
      <w:r w:rsidRPr="000869AC">
        <w:rPr>
          <w:rFonts w:ascii="Arial" w:eastAsia="Calibri" w:hAnsi="Arial" w:cs="Arial"/>
          <w:sz w:val="24"/>
          <w:szCs w:val="24"/>
          <w:lang w:eastAsia="es-MX"/>
        </w:rPr>
        <w:t xml:space="preserve"> días del mes de noviembre del año dos mil veintidós.</w:t>
      </w:r>
    </w:p>
    <w:p w:rsidR="000869AC" w:rsidRPr="000869AC" w:rsidRDefault="000869AC" w:rsidP="00286915">
      <w:pPr>
        <w:spacing w:line="240" w:lineRule="auto"/>
        <w:rPr>
          <w:rFonts w:ascii="Arial" w:eastAsia="Calibri" w:hAnsi="Arial" w:cs="Arial"/>
          <w:sz w:val="24"/>
          <w:szCs w:val="24"/>
          <w:lang w:eastAsia="es-MX"/>
        </w:rPr>
      </w:pPr>
    </w:p>
    <w:p w:rsidR="000869AC" w:rsidRPr="000869AC" w:rsidRDefault="000869AC" w:rsidP="00286915">
      <w:pPr>
        <w:spacing w:line="240" w:lineRule="auto"/>
        <w:jc w:val="both"/>
        <w:rPr>
          <w:rFonts w:ascii="Arial" w:eastAsiaTheme="minorEastAsia" w:hAnsi="Arial" w:cs="Arial"/>
          <w:sz w:val="24"/>
          <w:szCs w:val="24"/>
          <w:vertAlign w:val="superscript"/>
          <w:lang w:eastAsia="zh-CN"/>
        </w:rPr>
      </w:pPr>
    </w:p>
    <w:p w:rsidR="000869AC" w:rsidRPr="000869AC" w:rsidRDefault="000869AC" w:rsidP="00286915">
      <w:pPr>
        <w:spacing w:line="240" w:lineRule="auto"/>
        <w:jc w:val="both"/>
        <w:rPr>
          <w:rFonts w:ascii="Arial" w:eastAsiaTheme="minorEastAsia" w:hAnsi="Arial" w:cs="Arial"/>
          <w:sz w:val="24"/>
          <w:szCs w:val="24"/>
          <w:vertAlign w:val="superscript"/>
          <w:lang w:eastAsia="zh-CN"/>
        </w:rPr>
      </w:pPr>
    </w:p>
    <w:p w:rsidR="000869AC" w:rsidRPr="000869AC" w:rsidRDefault="000869AC" w:rsidP="00286915">
      <w:pPr>
        <w:spacing w:line="240" w:lineRule="auto"/>
        <w:jc w:val="both"/>
        <w:rPr>
          <w:rFonts w:ascii="Arial" w:eastAsiaTheme="minorEastAsia" w:hAnsi="Arial" w:cs="Arial"/>
          <w:sz w:val="24"/>
          <w:szCs w:val="24"/>
          <w:lang w:eastAsia="zh-CN"/>
        </w:rPr>
      </w:pPr>
    </w:p>
    <w:p w:rsidR="000869AC" w:rsidRPr="000869AC" w:rsidRDefault="000869AC" w:rsidP="00286915">
      <w:pPr>
        <w:spacing w:line="240" w:lineRule="auto"/>
        <w:rPr>
          <w:rFonts w:ascii="Arial" w:eastAsiaTheme="minorEastAsia" w:hAnsi="Arial" w:cs="Arial"/>
          <w:sz w:val="24"/>
          <w:szCs w:val="24"/>
          <w:vertAlign w:val="superscript"/>
          <w:lang w:eastAsia="zh-CN"/>
        </w:rPr>
      </w:pPr>
    </w:p>
    <w:p w:rsidR="00175482" w:rsidRPr="000869AC" w:rsidRDefault="00175482" w:rsidP="00286915">
      <w:pPr>
        <w:spacing w:line="240" w:lineRule="auto"/>
        <w:jc w:val="both"/>
        <w:rPr>
          <w:rFonts w:ascii="Arial" w:hAnsi="Arial" w:cs="Arial"/>
          <w:sz w:val="24"/>
          <w:szCs w:val="24"/>
        </w:rPr>
      </w:pPr>
    </w:p>
    <w:p w:rsidR="00175482" w:rsidRPr="000869AC" w:rsidRDefault="00175482" w:rsidP="00286915">
      <w:pPr>
        <w:spacing w:line="240" w:lineRule="auto"/>
        <w:jc w:val="both"/>
        <w:rPr>
          <w:rFonts w:ascii="Arial" w:hAnsi="Arial" w:cs="Arial"/>
          <w:sz w:val="24"/>
          <w:szCs w:val="24"/>
        </w:rPr>
      </w:pPr>
    </w:p>
    <w:sectPr w:rsidR="00175482" w:rsidRPr="000869AC" w:rsidSect="000869AC">
      <w:headerReference w:type="default" r:id="rId8"/>
      <w:footerReference w:type="default" r:id="rId9"/>
      <w:pgSz w:w="12242" w:h="15842" w:code="1"/>
      <w:pgMar w:top="1985"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2E7" w:rsidRDefault="005562E7">
      <w:pPr>
        <w:spacing w:line="240" w:lineRule="auto"/>
      </w:pPr>
      <w:r>
        <w:separator/>
      </w:r>
    </w:p>
  </w:endnote>
  <w:endnote w:type="continuationSeparator" w:id="0">
    <w:p w:rsidR="005562E7" w:rsidRDefault="005562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altName w:val="Arial"/>
    <w:charset w:val="00"/>
    <w:family w:val="swiss"/>
    <w:pitch w:val="default"/>
    <w:sig w:usb0="00000000" w:usb1="00000000" w:usb2="00000021" w:usb3="00000000" w:csb0="0000019F" w:csb1="00000000"/>
  </w:font>
  <w:font w:name="Helvetica Neue">
    <w:altName w:val="Times New Roman"/>
    <w:charset w:val="00"/>
    <w:family w:val="auto"/>
    <w:pitch w:val="default"/>
    <w:sig w:usb0="00000000" w:usb1="00000000" w:usb2="00000010" w:usb3="00000000" w:csb0="00000001" w:csb1="00000000"/>
  </w:font>
  <w:font w:name="Helvetica Neue Light">
    <w:altName w:val="Times New Roman"/>
    <w:charset w:val="00"/>
    <w:family w:val="auto"/>
    <w:pitch w:val="default"/>
    <w:sig w:usb0="00000000" w:usb1="00000000"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pPr w:leftFromText="180" w:rightFromText="180" w:vertAnchor="page" w:horzAnchor="page" w:tblpX="1608" w:tblpY="14707"/>
      <w:tblOverlap w:val="never"/>
      <w:tblW w:w="93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175482">
      <w:trPr>
        <w:trHeight w:val="1050"/>
      </w:trPr>
      <w:tc>
        <w:tcPr>
          <w:tcW w:w="9314" w:type="dxa"/>
        </w:tcPr>
        <w:p w:rsidR="00175482" w:rsidRDefault="00CF1B26">
          <w:pPr>
            <w:pStyle w:val="Piedepgina"/>
            <w:tabs>
              <w:tab w:val="clear" w:pos="4153"/>
              <w:tab w:val="clear" w:pos="8306"/>
              <w:tab w:val="center" w:pos="4419"/>
              <w:tab w:val="right" w:pos="8838"/>
            </w:tabs>
            <w:jc w:val="right"/>
          </w:pPr>
          <w:r>
            <w:rPr>
              <w:rFonts w:ascii="Helvetica Neue" w:hAnsi="Helvetica Neue"/>
              <w:noProof/>
              <w:color w:val="960048"/>
              <w:sz w:val="18"/>
              <w:lang w:eastAsia="es-MX"/>
            </w:rPr>
            <w:drawing>
              <wp:inline distT="0" distB="0" distL="0" distR="0">
                <wp:extent cx="2451100" cy="254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stretch>
                          <a:fillRect/>
                        </a:stretch>
                      </pic:blipFill>
                      <pic:spPr>
                        <a:xfrm>
                          <a:off x="0" y="0"/>
                          <a:ext cx="2451100" cy="254000"/>
                        </a:xfrm>
                        <a:prstGeom prst="rect">
                          <a:avLst/>
                        </a:prstGeom>
                      </pic:spPr>
                    </pic:pic>
                  </a:graphicData>
                </a:graphic>
              </wp:inline>
            </w:drawing>
          </w:r>
        </w:p>
        <w:p w:rsidR="00175482" w:rsidRDefault="00CF1B26">
          <w:pPr>
            <w:pStyle w:val="Prrafobsico"/>
            <w:spacing w:line="240" w:lineRule="auto"/>
            <w:jc w:val="right"/>
            <w:rPr>
              <w:rFonts w:ascii="Helvetica Neue Light" w:hAnsi="Helvetica Neue Light"/>
              <w:color w:val="898A8D"/>
            </w:rPr>
          </w:pPr>
          <w:r>
            <w:rPr>
              <w:rFonts w:ascii="Helvetica Neue Light" w:hAnsi="Helvetica Neue Light"/>
              <w:color w:val="898A8D"/>
            </w:rPr>
            <w:t>Plaza Hidalgo s/n, Col. Centro, Toluca, México, C. P. 50000</w:t>
          </w:r>
        </w:p>
        <w:p w:rsidR="00175482" w:rsidRDefault="00CF1B26">
          <w:pPr>
            <w:pStyle w:val="Piedepgina"/>
            <w:tabs>
              <w:tab w:val="clear" w:pos="4153"/>
              <w:tab w:val="clear" w:pos="8306"/>
              <w:tab w:val="center" w:pos="4419"/>
              <w:tab w:val="right" w:pos="8838"/>
            </w:tabs>
            <w:jc w:val="right"/>
            <w:rPr>
              <w:rFonts w:ascii="Helvetica Neue Light" w:hAnsi="Helvetica Neue Light"/>
              <w:color w:val="898A8D"/>
            </w:rPr>
          </w:pPr>
          <w:r>
            <w:rPr>
              <w:rFonts w:ascii="Helvetica Neue Light" w:hAnsi="Helvetica Neue Light"/>
              <w:color w:val="898A8D"/>
            </w:rPr>
            <w:t xml:space="preserve">Tels. </w:t>
          </w:r>
          <w:r>
            <w:rPr>
              <w:rFonts w:ascii="Helvetica Neue Light" w:hAnsi="Helvetica Neue Light"/>
              <w:iCs/>
              <w:color w:val="898A8D"/>
            </w:rPr>
            <w:t>722 279 64 00 y 722 279 65 00</w:t>
          </w:r>
        </w:p>
      </w:tc>
    </w:tr>
  </w:tbl>
  <w:p w:rsidR="00175482" w:rsidRDefault="001754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2E7" w:rsidRDefault="005562E7">
      <w:pPr>
        <w:spacing w:after="0"/>
      </w:pPr>
      <w:r>
        <w:separator/>
      </w:r>
    </w:p>
  </w:footnote>
  <w:footnote w:type="continuationSeparator" w:id="0">
    <w:p w:rsidR="005562E7" w:rsidRDefault="005562E7">
      <w:pPr>
        <w:spacing w:after="0"/>
      </w:pPr>
      <w:r>
        <w:continuationSeparator/>
      </w:r>
    </w:p>
  </w:footnote>
  <w:footnote w:id="1">
    <w:p w:rsidR="000869AC" w:rsidRDefault="000869AC" w:rsidP="000869AC">
      <w:pPr>
        <w:pStyle w:val="Textonotapie"/>
      </w:pPr>
      <w:r>
        <w:rPr>
          <w:rStyle w:val="Refdenotaalpie"/>
        </w:rPr>
        <w:footnoteRef/>
      </w:r>
      <w:r>
        <w:t xml:space="preserve"> </w:t>
      </w:r>
      <w:hyperlink r:id="rId1" w:history="1">
        <w:r>
          <w:rPr>
            <w:rStyle w:val="Hipervnculo"/>
            <w:rFonts w:ascii="Arial" w:hAnsi="Arial"/>
            <w:sz w:val="24"/>
            <w:szCs w:val="24"/>
            <w:vertAlign w:val="superscript"/>
          </w:rPr>
          <w:t>https://legislacion.edomex.gob.mx/sites/legislacion.edomex.gob.mx/files/files/pdf/ley/vig/leyvig139.pdf</w:t>
        </w:r>
      </w:hyperlink>
    </w:p>
  </w:footnote>
  <w:footnote w:id="2">
    <w:p w:rsidR="000869AC" w:rsidRDefault="000869AC" w:rsidP="000869AC">
      <w:r>
        <w:rPr>
          <w:rStyle w:val="Refdenotaalpie"/>
        </w:rPr>
        <w:footnoteRef/>
      </w:r>
      <w:r>
        <w:t xml:space="preserve"> </w:t>
      </w:r>
      <w:r w:rsidRPr="00F40FDE">
        <w:rPr>
          <w:vertAlign w:val="superscript"/>
        </w:rPr>
        <w:t xml:space="preserve"> </w:t>
      </w:r>
      <w:hyperlink r:id="rId2" w:history="1">
        <w:r>
          <w:rPr>
            <w:rStyle w:val="Hipervnculo"/>
            <w:sz w:val="16"/>
            <w:szCs w:val="16"/>
          </w:rPr>
          <w:t>https://www.inegi.org.mx/contenidos/saladeprensa/aproposito/2022/EAP_Mujer22.pdf</w:t>
        </w:r>
      </w:hyperlink>
      <w:r w:rsidRPr="00F40FDE">
        <w:rPr>
          <w:sz w:val="16"/>
          <w:szCs w:val="16"/>
        </w:rPr>
        <w:t xml:space="preserve"> </w:t>
      </w:r>
    </w:p>
  </w:footnote>
  <w:footnote w:id="3">
    <w:p w:rsidR="000869AC" w:rsidRPr="00F40FDE" w:rsidRDefault="000869AC" w:rsidP="000869AC">
      <w:pPr>
        <w:rPr>
          <w:sz w:val="16"/>
          <w:szCs w:val="16"/>
        </w:rPr>
      </w:pPr>
      <w:r>
        <w:rPr>
          <w:rStyle w:val="Refdenotaalpie"/>
        </w:rPr>
        <w:footnoteRef/>
      </w:r>
      <w:r>
        <w:t xml:space="preserve"> </w:t>
      </w:r>
      <w:hyperlink r:id="rId3" w:history="1">
        <w:r w:rsidRPr="00F40FDE">
          <w:rPr>
            <w:rStyle w:val="Hipervnculo"/>
            <w:sz w:val="16"/>
            <w:szCs w:val="16"/>
          </w:rPr>
          <w:t>https://www.elsoldetoluca.com.mx/local/edomex-cerro-el-primer-semestre-de-2022-con-78-feminicidios-8653862.html</w:t>
        </w:r>
      </w:hyperlink>
      <w:r w:rsidRPr="00F40FDE">
        <w:rPr>
          <w:sz w:val="16"/>
          <w:szCs w:val="16"/>
        </w:rPr>
        <w:t xml:space="preserve"> </w:t>
      </w:r>
    </w:p>
    <w:p w:rsidR="000869AC" w:rsidRDefault="000869AC" w:rsidP="000869AC">
      <w:pPr>
        <w:pStyle w:val="Textonotapie"/>
      </w:pPr>
    </w:p>
  </w:footnote>
  <w:footnote w:id="4">
    <w:p w:rsidR="000869AC" w:rsidRDefault="000869AC" w:rsidP="000869AC">
      <w:pPr>
        <w:pStyle w:val="Textonotapie"/>
      </w:pPr>
      <w:r>
        <w:rPr>
          <w:rStyle w:val="Refdenotaalpie"/>
        </w:rPr>
        <w:footnoteRef/>
      </w:r>
      <w:r>
        <w:t xml:space="preserve"> </w:t>
      </w:r>
      <w:hyperlink r:id="rId4" w:history="1">
        <w:r w:rsidRPr="00F40FDE">
          <w:rPr>
            <w:rStyle w:val="Hipervnculo"/>
            <w:rFonts w:ascii="Arial" w:hAnsi="Arial"/>
            <w:vertAlign w:val="superscript"/>
          </w:rPr>
          <w:t>https://legislacion.edomex.gob.mx/vista-legistel?field_palabras_clave_tid=1&amp;field_vigencia_combo_box=1</w:t>
        </w:r>
      </w:hyperlink>
      <w:r w:rsidRPr="00F40FDE">
        <w:rPr>
          <w:rFonts w:ascii="Arial" w:hAnsi="Arial"/>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pPr w:leftFromText="180" w:rightFromText="180" w:vertAnchor="page" w:horzAnchor="page" w:tblpX="1577" w:tblpY="318"/>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4767"/>
    </w:tblGrid>
    <w:tr w:rsidR="00175482">
      <w:tc>
        <w:tcPr>
          <w:tcW w:w="3755" w:type="dxa"/>
        </w:tcPr>
        <w:p w:rsidR="00175482" w:rsidRDefault="00CF1B26">
          <w:pPr>
            <w:tabs>
              <w:tab w:val="center" w:pos="4702"/>
            </w:tabs>
            <w:spacing w:after="0" w:line="240" w:lineRule="auto"/>
            <w:jc w:val="center"/>
            <w:rPr>
              <w:rFonts w:ascii="Calibri" w:eastAsia="Calibri" w:hAnsi="Calibri" w:cs="Times New Roman"/>
              <w:lang w:eastAsia="es-MX"/>
            </w:rPr>
          </w:pPr>
          <w:r>
            <w:rPr>
              <w:rFonts w:ascii="Calibri" w:eastAsia="Calibri" w:hAnsi="Calibri" w:cs="Times New Roman"/>
              <w:noProof/>
              <w:lang w:eastAsia="es-MX"/>
            </w:rPr>
            <w:drawing>
              <wp:inline distT="0" distB="0" distL="0" distR="0">
                <wp:extent cx="2116455" cy="704215"/>
                <wp:effectExtent l="0" t="0" r="1714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stretch>
                          <a:fillRect/>
                        </a:stretch>
                      </pic:blipFill>
                      <pic:spPr>
                        <a:xfrm>
                          <a:off x="0" y="0"/>
                          <a:ext cx="2124089" cy="706707"/>
                        </a:xfrm>
                        <a:prstGeom prst="rect">
                          <a:avLst/>
                        </a:prstGeom>
                      </pic:spPr>
                    </pic:pic>
                  </a:graphicData>
                </a:graphic>
              </wp:inline>
            </w:drawing>
          </w:r>
        </w:p>
      </w:tc>
      <w:tc>
        <w:tcPr>
          <w:tcW w:w="4767" w:type="dxa"/>
        </w:tcPr>
        <w:p w:rsidR="00175482" w:rsidRDefault="00CF1B26">
          <w:pPr>
            <w:tabs>
              <w:tab w:val="center" w:pos="4702"/>
            </w:tabs>
            <w:spacing w:after="0" w:line="240" w:lineRule="auto"/>
            <w:jc w:val="center"/>
            <w:rPr>
              <w:rFonts w:ascii="Calibri" w:eastAsia="Calibri" w:hAnsi="Calibri" w:cs="Times New Roman"/>
              <w:lang w:eastAsia="es-MX"/>
            </w:rPr>
          </w:pPr>
          <w:r>
            <w:rPr>
              <w:rFonts w:ascii="Calibri" w:eastAsia="Calibri" w:hAnsi="Calibri" w:cs="Times New Roman"/>
              <w:noProof/>
              <w:lang w:eastAsia="es-MX"/>
            </w:rPr>
            <mc:AlternateContent>
              <mc:Choice Requires="wps">
                <w:drawing>
                  <wp:anchor distT="0" distB="0" distL="114300" distR="114300" simplePos="0" relativeHeight="251659264" behindDoc="0" locked="0" layoutInCell="1" allowOverlap="1">
                    <wp:simplePos x="0" y="0"/>
                    <wp:positionH relativeFrom="column">
                      <wp:posOffset>-2408555</wp:posOffset>
                    </wp:positionH>
                    <wp:positionV relativeFrom="paragraph">
                      <wp:posOffset>706755</wp:posOffset>
                    </wp:positionV>
                    <wp:extent cx="5977255" cy="329565"/>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18" cy="329453"/>
                            </a:xfrm>
                            <a:prstGeom prst="rect">
                              <a:avLst/>
                            </a:prstGeom>
                            <a:noFill/>
                            <a:ln w="9525">
                              <a:noFill/>
                              <a:miter lim="800000"/>
                            </a:ln>
                          </wps:spPr>
                          <wps:txbx>
                            <w:txbxContent>
                              <w:p w:rsidR="00175482" w:rsidRDefault="00CF1B26">
                                <w:pPr>
                                  <w:jc w:val="center"/>
                                  <w:rPr>
                                    <w:rFonts w:ascii="Lato" w:eastAsia="Calibri" w:hAnsi="Lato" w:cs="Times New Roman"/>
                                    <w:b/>
                                    <w:sz w:val="18"/>
                                    <w:szCs w:val="18"/>
                                  </w:rPr>
                                </w:pPr>
                                <w:r>
                                  <w:rPr>
                                    <w:rFonts w:ascii="Lato" w:eastAsia="Calibri" w:hAnsi="Lato" w:cs="Times New Roman"/>
                                    <w:b/>
                                    <w:sz w:val="18"/>
                                    <w:szCs w:val="18"/>
                                  </w:rPr>
                                  <w:t>“2022. Año del Quincentenario de Toluca de Lerdo, Capital del Estado de México”</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89.65pt;margin-top:55.65pt;width:470.65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" filled="f" stroked="f">
                    <v:textbox>
                      <w:txbxContent>
                        <w:p w:rsidR="00175482" w:rsidRDefault="00CF1B26">
                          <w:pPr>
                            <w:jc w:val="center"/>
                            <w:rPr>
                              <w:rFonts w:ascii="Lato" w:eastAsia="Calibri" w:hAnsi="Lato" w:cs="Times New Roman"/>
                              <w:b/>
                              <w:sz w:val="18"/>
                              <w:szCs w:val="18"/>
                            </w:rPr>
                          </w:pPr>
                          <w:r>
                            <w:rPr>
                              <w:rFonts w:ascii="Lato" w:eastAsia="Calibri" w:hAnsi="Lato" w:cs="Times New Roman"/>
                              <w:b/>
                              <w:sz w:val="18"/>
                              <w:szCs w:val="18"/>
                            </w:rPr>
                            <w:t xml:space="preserve">“2022. Año del </w:t>
                          </w:r>
                          <w:proofErr w:type="spellStart"/>
                          <w:r>
                            <w:rPr>
                              <w:rFonts w:ascii="Lato" w:eastAsia="Calibri" w:hAnsi="Lato" w:cs="Times New Roman"/>
                              <w:b/>
                              <w:sz w:val="18"/>
                              <w:szCs w:val="18"/>
                            </w:rPr>
                            <w:t>Quincentenario</w:t>
                          </w:r>
                          <w:proofErr w:type="spellEnd"/>
                          <w:r>
                            <w:rPr>
                              <w:rFonts w:ascii="Lato" w:eastAsia="Calibri" w:hAnsi="Lato" w:cs="Times New Roman"/>
                              <w:b/>
                              <w:sz w:val="18"/>
                              <w:szCs w:val="18"/>
                            </w:rPr>
                            <w:t xml:space="preserve"> de Toluca de Lerdo, Capital del Estado de México”</w:t>
                          </w:r>
                        </w:p>
                      </w:txbxContent>
                    </v:textbox>
                  </v:shape>
                </w:pict>
              </mc:Fallback>
            </mc:AlternateContent>
          </w:r>
          <w:r>
            <w:rPr>
              <w:rFonts w:ascii="Calibri" w:eastAsia="Calibri" w:hAnsi="Calibri" w:cs="Times New Roman"/>
              <w:noProof/>
              <w:lang w:eastAsia="es-MX"/>
            </w:rPr>
            <mc:AlternateContent>
              <mc:Choice Requires="wps">
                <w:drawing>
                  <wp:anchor distT="0" distB="0" distL="114300" distR="114300" simplePos="0" relativeHeight="251660288" behindDoc="0" locked="0" layoutInCell="1" allowOverlap="1">
                    <wp:simplePos x="0" y="0"/>
                    <wp:positionH relativeFrom="column">
                      <wp:posOffset>347980</wp:posOffset>
                    </wp:positionH>
                    <wp:positionV relativeFrom="paragraph">
                      <wp:posOffset>-44450</wp:posOffset>
                    </wp:positionV>
                    <wp:extent cx="3232785" cy="53594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597" cy="535940"/>
                            </a:xfrm>
                            <a:prstGeom prst="rect">
                              <a:avLst/>
                            </a:prstGeom>
                            <a:noFill/>
                            <a:ln w="9525">
                              <a:noFill/>
                              <a:miter lim="800000"/>
                            </a:ln>
                          </wps:spPr>
                          <wps:txbx>
                            <w:txbxContent>
                              <w:p w:rsidR="00175482" w:rsidRDefault="00CF1B26">
                                <w:pPr>
                                  <w:spacing w:line="360" w:lineRule="auto"/>
                                  <w:jc w:val="right"/>
                                  <w:rPr>
                                    <w:rFonts w:ascii="Helvetica Neue" w:eastAsia="Calibri" w:hAnsi="Helvetica Neue" w:cs="Times New Roman"/>
                                    <w:color w:val="898A8D"/>
                                    <w:lang w:val="es-ES"/>
                                  </w:rPr>
                                </w:pPr>
                                <w:r>
                                  <w:rPr>
                                    <w:rFonts w:ascii="Helvetica Neue" w:eastAsia="Calibri" w:hAnsi="Helvetica Neue" w:cs="Times New Roman"/>
                                    <w:color w:val="898A8D"/>
                                    <w:lang w:val="es-ES"/>
                                  </w:rPr>
                                  <w:t xml:space="preserve">Grupo Parlamentario del  </w:t>
                                </w:r>
                                <w:r>
                                  <w:rPr>
                                    <w:rFonts w:ascii="Helvetica Neue" w:eastAsia="Calibri" w:hAnsi="Helvetica Neue" w:cs="Times New Roman"/>
                                    <w:noProof/>
                                    <w:color w:val="960048"/>
                                    <w:sz w:val="18"/>
                                    <w:lang w:eastAsia="es-MX"/>
                                  </w:rPr>
                                  <w:drawing>
                                    <wp:inline distT="0" distB="0" distL="0" distR="0">
                                      <wp:extent cx="314960" cy="314960"/>
                                      <wp:effectExtent l="0" t="0" r="8890" b="8890"/>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n 304"/>
                                              <pic:cNvPicPr>
                                                <a:picLocks noChangeAspect="1"/>
                                              </pic:cNvPicPr>
                                            </pic:nvPicPr>
                                            <pic:blipFill>
                                              <a:blip r:embed="rId2"/>
                                              <a:stretch>
                                                <a:fillRect/>
                                              </a:stretch>
                                            </pic:blipFill>
                                            <pic:spPr>
                                              <a:xfrm>
                                                <a:off x="0" y="0"/>
                                                <a:ext cx="316766" cy="316766"/>
                                              </a:xfrm>
                                              <a:prstGeom prst="rect">
                                                <a:avLst/>
                                              </a:prstGeom>
                                            </pic:spPr>
                                          </pic:pic>
                                        </a:graphicData>
                                      </a:graphic>
                                    </wp:inline>
                                  </w:drawing>
                                </w:r>
                                <w:r>
                                  <w:rPr>
                                    <w:rFonts w:ascii="Helvetica Neue" w:eastAsia="Calibri" w:hAnsi="Helvetica Neue" w:cs="Times New Roman"/>
                                    <w:color w:val="898A8D"/>
                                    <w:lang w:val="es-ES"/>
                                  </w:rPr>
                                  <w:t xml:space="preserve"> </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27.4pt;margin-top:-3.5pt;width:254.55pt;height:4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" filled="f" stroked="f">
                    <v:textbox>
                      <w:txbxContent>
                        <w:p w:rsidR="00175482" w:rsidRDefault="00CF1B26">
                          <w:pPr>
                            <w:spacing w:line="360" w:lineRule="auto"/>
                            <w:jc w:val="right"/>
                            <w:rPr>
                              <w:rFonts w:ascii="Helvetica Neue" w:eastAsia="Calibri" w:hAnsi="Helvetica Neue" w:cs="Times New Roman"/>
                              <w:color w:val="898A8D"/>
                              <w:lang w:val="es-ES"/>
                            </w:rPr>
                          </w:pPr>
                          <w:r>
                            <w:rPr>
                              <w:rFonts w:ascii="Helvetica Neue" w:eastAsia="Calibri" w:hAnsi="Helvetica Neue" w:cs="Times New Roman"/>
                              <w:color w:val="898A8D"/>
                              <w:lang w:val="es-ES"/>
                            </w:rPr>
                            <w:t xml:space="preserve">Grupo Parlamentario del  </w:t>
                          </w:r>
                          <w:r>
                            <w:rPr>
                              <w:rFonts w:ascii="Helvetica Neue" w:eastAsia="Calibri" w:hAnsi="Helvetica Neue" w:cs="Times New Roman"/>
                              <w:noProof/>
                              <w:color w:val="960048"/>
                              <w:sz w:val="18"/>
                              <w:lang w:eastAsia="es-MX"/>
                            </w:rPr>
                            <w:drawing>
                              <wp:inline distT="0" distB="0" distL="0" distR="0">
                                <wp:extent cx="314960" cy="314960"/>
                                <wp:effectExtent l="0" t="0" r="8890" b="8890"/>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n 304"/>
                                        <pic:cNvPicPr>
                                          <a:picLocks noChangeAspect="1"/>
                                        </pic:cNvPicPr>
                                      </pic:nvPicPr>
                                      <pic:blipFill>
                                        <a:blip r:embed="rId3"/>
                                        <a:stretch>
                                          <a:fillRect/>
                                        </a:stretch>
                                      </pic:blipFill>
                                      <pic:spPr>
                                        <a:xfrm>
                                          <a:off x="0" y="0"/>
                                          <a:ext cx="316766" cy="316766"/>
                                        </a:xfrm>
                                        <a:prstGeom prst="rect">
                                          <a:avLst/>
                                        </a:prstGeom>
                                      </pic:spPr>
                                    </pic:pic>
                                  </a:graphicData>
                                </a:graphic>
                              </wp:inline>
                            </w:drawing>
                          </w:r>
                          <w:r>
                            <w:rPr>
                              <w:rFonts w:ascii="Helvetica Neue" w:eastAsia="Calibri" w:hAnsi="Helvetica Neue" w:cs="Times New Roman"/>
                              <w:color w:val="898A8D"/>
                              <w:lang w:val="es-ES"/>
                            </w:rPr>
                            <w:t xml:space="preserve"> </w:t>
                          </w:r>
                        </w:p>
                      </w:txbxContent>
                    </v:textbox>
                  </v:shape>
                </w:pict>
              </mc:Fallback>
            </mc:AlternateContent>
          </w:r>
          <w:r>
            <w:rPr>
              <w:rFonts w:ascii="Calibri" w:eastAsia="Calibri" w:hAnsi="Calibri" w:cs="Times New Roman"/>
              <w:noProof/>
              <w:lang w:eastAsia="es-MX"/>
            </w:rPr>
            <mc:AlternateContent>
              <mc:Choice Requires="wps">
                <w:drawing>
                  <wp:anchor distT="0" distB="0" distL="114300" distR="114300" simplePos="0" relativeHeight="251661312" behindDoc="0" locked="0" layoutInCell="1" allowOverlap="1">
                    <wp:simplePos x="0" y="0"/>
                    <wp:positionH relativeFrom="column">
                      <wp:posOffset>280670</wp:posOffset>
                    </wp:positionH>
                    <wp:positionV relativeFrom="paragraph">
                      <wp:posOffset>353695</wp:posOffset>
                    </wp:positionV>
                    <wp:extent cx="3274695" cy="34671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498" cy="346710"/>
                            </a:xfrm>
                            <a:prstGeom prst="rect">
                              <a:avLst/>
                            </a:prstGeom>
                            <a:noFill/>
                            <a:ln w="9525">
                              <a:noFill/>
                              <a:miter lim="800000"/>
                            </a:ln>
                          </wps:spPr>
                          <wps:txbx>
                            <w:txbxContent>
                              <w:p w:rsidR="00175482" w:rsidRDefault="00CF1B26">
                                <w:pPr>
                                  <w:spacing w:line="360" w:lineRule="auto"/>
                                  <w:jc w:val="right"/>
                                  <w:rPr>
                                    <w:rFonts w:ascii="Helvetica Neue" w:eastAsia="Calibri" w:hAnsi="Helvetica Neue" w:cs="Times New Roman"/>
                                    <w:b/>
                                    <w:color w:val="000000"/>
                                    <w:sz w:val="28"/>
                                    <w:szCs w:val="28"/>
                                    <w:lang w:val="es-ES"/>
                                    <w14:textFill>
                                      <w14:solidFill>
                                        <w14:srgbClr w14:val="000000">
                                          <w14:lumMod w14:val="85000"/>
                                          <w14:lumOff w14:val="15000"/>
                                        </w14:srgbClr>
                                      </w14:solidFill>
                                    </w14:textFill>
                                  </w:rPr>
                                </w:pPr>
                                <w:r>
                                  <w:rPr>
                                    <w:rFonts w:ascii="Helvetica Neue" w:eastAsia="Calibri" w:hAnsi="Helvetica Neue" w:cs="Times New Roman"/>
                                    <w:b/>
                                    <w:color w:val="000000"/>
                                    <w:sz w:val="28"/>
                                    <w:szCs w:val="28"/>
                                    <w:lang w:val="es-ES"/>
                                    <w14:textFill>
                                      <w14:solidFill>
                                        <w14:srgbClr w14:val="000000">
                                          <w14:lumMod w14:val="85000"/>
                                          <w14:lumOff w14:val="15000"/>
                                        </w14:srgbClr>
                                      </w14:solidFill>
                                    </w14:textFill>
                                  </w:rPr>
                                  <w:t>Dip. María de los Ángeles Dávila Vargas</w:t>
                                </w:r>
                              </w:p>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22.1pt;margin-top:27.85pt;width:257.85pt;height:27.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" filled="f" stroked="f">
                    <v:textbox>
                      <w:txbxContent>
                        <w:p w:rsidR="00175482" w:rsidRDefault="00CF1B26">
                          <w:pPr>
                            <w:spacing w:line="360" w:lineRule="auto"/>
                            <w:jc w:val="right"/>
                            <w:rPr>
                              <w:rFonts w:ascii="Helvetica Neue" w:eastAsia="Calibri" w:hAnsi="Helvetica Neue" w:cs="Times New Roman"/>
                              <w:b/>
                              <w:color w:val="000000"/>
                              <w:sz w:val="28"/>
                              <w:szCs w:val="28"/>
                              <w:lang w:val="es-ES"/>
                              <w14:textFill>
                                <w14:solidFill>
                                  <w14:srgbClr w14:val="000000">
                                    <w14:lumMod w14:val="85000"/>
                                    <w14:lumOff w14:val="15000"/>
                                  </w14:srgbClr>
                                </w14:solidFill>
                              </w14:textFill>
                            </w:rPr>
                          </w:pPr>
                          <w:proofErr w:type="spellStart"/>
                          <w:r>
                            <w:rPr>
                              <w:rFonts w:ascii="Helvetica Neue" w:eastAsia="Calibri" w:hAnsi="Helvetica Neue" w:cs="Times New Roman"/>
                              <w:b/>
                              <w:color w:val="000000"/>
                              <w:sz w:val="28"/>
                              <w:szCs w:val="28"/>
                              <w:lang w:val="es-ES"/>
                              <w14:textFill>
                                <w14:solidFill>
                                  <w14:srgbClr w14:val="000000">
                                    <w14:lumMod w14:val="85000"/>
                                    <w14:lumOff w14:val="15000"/>
                                  </w14:srgbClr>
                                </w14:solidFill>
                              </w14:textFill>
                            </w:rPr>
                            <w:t>Dip</w:t>
                          </w:r>
                          <w:proofErr w:type="spellEnd"/>
                          <w:r>
                            <w:rPr>
                              <w:rFonts w:ascii="Helvetica Neue" w:eastAsia="Calibri" w:hAnsi="Helvetica Neue" w:cs="Times New Roman"/>
                              <w:b/>
                              <w:color w:val="000000"/>
                              <w:sz w:val="28"/>
                              <w:szCs w:val="28"/>
                              <w:lang w:val="es-ES"/>
                              <w14:textFill>
                                <w14:solidFill>
                                  <w14:srgbClr w14:val="000000">
                                    <w14:lumMod w14:val="85000"/>
                                    <w14:lumOff w14:val="15000"/>
                                  </w14:srgbClr>
                                </w14:solidFill>
                              </w14:textFill>
                            </w:rPr>
                            <w:t>. María de los Ángeles Dávila Vargas</w:t>
                          </w:r>
                        </w:p>
                      </w:txbxContent>
                    </v:textbox>
                  </v:shape>
                </w:pict>
              </mc:Fallback>
            </mc:AlternateContent>
          </w:r>
        </w:p>
      </w:tc>
    </w:tr>
  </w:tbl>
  <w:p w:rsidR="00175482" w:rsidRDefault="001754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B6FB8"/>
    <w:multiLevelType w:val="singleLevel"/>
    <w:tmpl w:val="197B6FB8"/>
    <w:lvl w:ilvl="0">
      <w:start w:val="3"/>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08"/>
  <w:hyphenationZone w:val="425"/>
  <w:drawingGridVerticalSpacing w:val="156"/>
  <w:displayHorizontalDrawingGridEvery w:val="0"/>
  <w:displayVerticalDrawingGridEvery w:val="2"/>
  <w:characterSpacingControl w:val="doNotCompress"/>
  <w:savePreviewPicture/>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9833FC"/>
    <w:rsid w:val="000869AC"/>
    <w:rsid w:val="001436C6"/>
    <w:rsid w:val="00175482"/>
    <w:rsid w:val="00286915"/>
    <w:rsid w:val="00391335"/>
    <w:rsid w:val="005562E7"/>
    <w:rsid w:val="007D547C"/>
    <w:rsid w:val="008604DF"/>
    <w:rsid w:val="00CF1B26"/>
    <w:rsid w:val="00FC299D"/>
    <w:rsid w:val="059833FC"/>
    <w:rsid w:val="15EC64DD"/>
    <w:rsid w:val="17066772"/>
    <w:rsid w:val="1FF24611"/>
    <w:rsid w:val="28FD0ABD"/>
    <w:rsid w:val="2C831AAB"/>
    <w:rsid w:val="3CEB3845"/>
    <w:rsid w:val="4E79477B"/>
    <w:rsid w:val="58E07F43"/>
    <w:rsid w:val="5CA059F3"/>
    <w:rsid w:val="60B3541A"/>
    <w:rsid w:val="71463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5E7324-B756-434A-B2D5-4A2135D4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Theme="minorHAns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qFormat/>
    <w:pPr>
      <w:tabs>
        <w:tab w:val="center" w:pos="4153"/>
        <w:tab w:val="right" w:pos="8306"/>
      </w:tabs>
    </w:pPr>
  </w:style>
  <w:style w:type="paragraph" w:styleId="Piedepgina">
    <w:name w:val="footer"/>
    <w:basedOn w:val="Normal"/>
    <w:link w:val="PiedepginaCar"/>
    <w:uiPriority w:val="99"/>
    <w:qFormat/>
    <w:pPr>
      <w:tabs>
        <w:tab w:val="center" w:pos="4153"/>
        <w:tab w:val="right" w:pos="8306"/>
      </w:tabs>
    </w:pPr>
  </w:style>
  <w:style w:type="table" w:styleId="Tablaconcuadrcula">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bsico">
    <w:name w:val="[Párrafo básico]"/>
    <w:basedOn w:val="Normal"/>
    <w:uiPriority w:val="99"/>
    <w:qFormat/>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extonotapie">
    <w:name w:val="footnote text"/>
    <w:basedOn w:val="Normal"/>
    <w:link w:val="TextonotapieCar"/>
    <w:rsid w:val="000869AC"/>
    <w:pPr>
      <w:spacing w:after="0" w:line="240" w:lineRule="auto"/>
    </w:pPr>
    <w:rPr>
      <w:sz w:val="20"/>
      <w:szCs w:val="20"/>
    </w:rPr>
  </w:style>
  <w:style w:type="character" w:customStyle="1" w:styleId="TextonotapieCar">
    <w:name w:val="Texto nota pie Car"/>
    <w:basedOn w:val="Fuentedeprrafopredeter"/>
    <w:link w:val="Textonotapie"/>
    <w:rsid w:val="000869AC"/>
    <w:rPr>
      <w:rFonts w:eastAsiaTheme="minorHAnsi"/>
      <w:lang w:eastAsia="en-US"/>
    </w:rPr>
  </w:style>
  <w:style w:type="character" w:styleId="Refdenotaalpie">
    <w:name w:val="footnote reference"/>
    <w:basedOn w:val="Fuentedeprrafopredeter"/>
    <w:rsid w:val="000869AC"/>
    <w:rPr>
      <w:vertAlign w:val="superscript"/>
    </w:rPr>
  </w:style>
  <w:style w:type="character" w:styleId="Hipervnculo">
    <w:name w:val="Hyperlink"/>
    <w:basedOn w:val="Fuentedeprrafopredeter"/>
    <w:qFormat/>
    <w:rsid w:val="000869AC"/>
    <w:rPr>
      <w:color w:val="0000FF"/>
      <w:u w:val="single"/>
    </w:rPr>
  </w:style>
  <w:style w:type="character" w:customStyle="1" w:styleId="PiedepginaCar">
    <w:name w:val="Pie de página Car"/>
    <w:basedOn w:val="Fuentedeprrafopredeter"/>
    <w:link w:val="Piedepgina"/>
    <w:uiPriority w:val="99"/>
    <w:rsid w:val="00286915"/>
    <w:rPr>
      <w:rFonts w:eastAsiaTheme="minorHAnsi"/>
      <w:sz w:val="22"/>
      <w:szCs w:val="22"/>
      <w:lang w:eastAsia="en-US"/>
    </w:rPr>
  </w:style>
  <w:style w:type="paragraph" w:styleId="Textodeglobo">
    <w:name w:val="Balloon Text"/>
    <w:basedOn w:val="Normal"/>
    <w:link w:val="TextodegloboCar"/>
    <w:rsid w:val="002869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286915"/>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www.elsoldetoluca.com.mx/local/edomex-cerro-el-primer-semestre-de-2022-con-78-feminicidios-8653862.html" TargetMode="External"/><Relationship Id="rId2" Type="http://schemas.openxmlformats.org/officeDocument/2006/relationships/hyperlink" Target="https://www.inegi.org.mx/contenidos/saladeprensa/aproposito/2022/EAP_Mujer22.pdf" TargetMode="External"/><Relationship Id="rId1" Type="http://schemas.openxmlformats.org/officeDocument/2006/relationships/hyperlink" Target="https://legislacion.edomex.gob.mx/sites/legislacion.edomex.gob.mx/files/files/pdf/ley/vig/leyvig139.pdf" TargetMode="External"/><Relationship Id="rId4" Type="http://schemas.openxmlformats.org/officeDocument/2006/relationships/hyperlink" Target="https://legislacion.edomex.gob.mx/vista-legistel?field_palabras_clave_tid=1&amp;field_vigencia_combo_box=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2070</Words>
  <Characters>11387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 Carera</dc:creator>
  <cp:lastModifiedBy>PRODESK</cp:lastModifiedBy>
  <cp:revision>2</cp:revision>
  <cp:lastPrinted>2022-11-03T18:38:00Z</cp:lastPrinted>
  <dcterms:created xsi:type="dcterms:W3CDTF">2022-11-08T18:09:00Z</dcterms:created>
  <dcterms:modified xsi:type="dcterms:W3CDTF">2022-11-08T18:09:00Z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2058-11.2.0.11380</vt:lpwstr>
  </property>
  <property fmtid="{D5CDD505-2E9C-101B-9397-08002B2CF9AE}" pid="3" name="ICV">
    <vt:lpwstr>8A4725DA30D44449B881F803AC84AD0C</vt:lpwstr>
  </property>
</Properties>
</file>