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A529" w14:textId="77745452" w:rsidR="0017676A" w:rsidRPr="00650F9E" w:rsidRDefault="00A16427" w:rsidP="00562028">
      <w:pPr>
        <w:ind w:left="708" w:hanging="708"/>
        <w:jc w:val="center"/>
        <w:rPr>
          <w:b/>
          <w:sz w:val="20"/>
          <w:szCs w:val="20"/>
        </w:rPr>
      </w:pPr>
      <w:bookmarkStart w:id="0" w:name="_Hlk115956400"/>
      <w:r w:rsidRPr="00650F9E">
        <w:rPr>
          <w:b/>
          <w:sz w:val="20"/>
          <w:szCs w:val="20"/>
        </w:rPr>
        <w:t>“2022. Año del Quincentenario de Toluca, Capital del Estado de México”.</w:t>
      </w:r>
    </w:p>
    <w:bookmarkEnd w:id="0"/>
    <w:p w14:paraId="44D3CC0B" w14:textId="77777777" w:rsidR="00A16427" w:rsidRPr="00625DF1" w:rsidRDefault="00A16427" w:rsidP="00074AD8">
      <w:pPr>
        <w:jc w:val="right"/>
        <w:rPr>
          <w:sz w:val="22"/>
          <w:szCs w:val="22"/>
        </w:rPr>
      </w:pPr>
    </w:p>
    <w:p w14:paraId="43EAEF8B" w14:textId="46E4E594" w:rsidR="00574DEA" w:rsidRPr="00625DF1" w:rsidRDefault="00574DEA" w:rsidP="00074AD8">
      <w:pPr>
        <w:jc w:val="right"/>
        <w:rPr>
          <w:sz w:val="22"/>
          <w:szCs w:val="22"/>
        </w:rPr>
      </w:pPr>
      <w:r w:rsidRPr="00625DF1">
        <w:rPr>
          <w:sz w:val="22"/>
          <w:szCs w:val="22"/>
        </w:rPr>
        <w:t>Toluca de Lerdo, México,</w:t>
      </w:r>
    </w:p>
    <w:p w14:paraId="26F47E44" w14:textId="7EEDE40B" w:rsidR="00574DEA" w:rsidRPr="00625DF1" w:rsidRDefault="00574DEA" w:rsidP="00074AD8">
      <w:pPr>
        <w:jc w:val="right"/>
        <w:rPr>
          <w:sz w:val="22"/>
          <w:szCs w:val="22"/>
        </w:rPr>
      </w:pPr>
      <w:r w:rsidRPr="00625DF1">
        <w:rPr>
          <w:sz w:val="22"/>
          <w:szCs w:val="22"/>
        </w:rPr>
        <w:t xml:space="preserve">a </w:t>
      </w:r>
      <w:r w:rsidR="00C34029" w:rsidRPr="00625DF1">
        <w:rPr>
          <w:sz w:val="22"/>
          <w:szCs w:val="22"/>
        </w:rPr>
        <w:t>18</w:t>
      </w:r>
      <w:r w:rsidR="001036F4" w:rsidRPr="00625DF1">
        <w:rPr>
          <w:sz w:val="22"/>
          <w:szCs w:val="22"/>
        </w:rPr>
        <w:t xml:space="preserve"> </w:t>
      </w:r>
      <w:r w:rsidRPr="00625DF1">
        <w:rPr>
          <w:sz w:val="22"/>
          <w:szCs w:val="22"/>
        </w:rPr>
        <w:t xml:space="preserve">de noviembre de </w:t>
      </w:r>
      <w:r w:rsidR="00A16427" w:rsidRPr="00625DF1">
        <w:rPr>
          <w:sz w:val="22"/>
          <w:szCs w:val="22"/>
        </w:rPr>
        <w:t>2022</w:t>
      </w:r>
      <w:r w:rsidRPr="00625DF1">
        <w:rPr>
          <w:sz w:val="22"/>
          <w:szCs w:val="22"/>
        </w:rPr>
        <w:t>.</w:t>
      </w:r>
    </w:p>
    <w:p w14:paraId="0C9CB738" w14:textId="77777777" w:rsidR="00574DEA" w:rsidRPr="00625DF1" w:rsidRDefault="00574DEA" w:rsidP="00074AD8">
      <w:pPr>
        <w:rPr>
          <w:sz w:val="22"/>
          <w:szCs w:val="22"/>
        </w:rPr>
      </w:pPr>
    </w:p>
    <w:p w14:paraId="4BA9AA23" w14:textId="4C7F3153" w:rsidR="00D95F90" w:rsidRPr="00625DF1" w:rsidRDefault="00E334DA" w:rsidP="00074AD8">
      <w:pPr>
        <w:rPr>
          <w:b/>
          <w:bCs/>
          <w:sz w:val="22"/>
          <w:szCs w:val="22"/>
        </w:rPr>
      </w:pPr>
      <w:r w:rsidRPr="00625DF1">
        <w:rPr>
          <w:b/>
          <w:bCs/>
          <w:sz w:val="22"/>
          <w:szCs w:val="22"/>
        </w:rPr>
        <w:t xml:space="preserve">DIP. </w:t>
      </w:r>
      <w:r w:rsidR="00A62D2A" w:rsidRPr="00625DF1">
        <w:rPr>
          <w:b/>
          <w:bCs/>
          <w:sz w:val="22"/>
          <w:szCs w:val="22"/>
        </w:rPr>
        <w:t>ENRIQUE EDGARDO JACOB ROCHA</w:t>
      </w:r>
    </w:p>
    <w:p w14:paraId="6588DBCD" w14:textId="4F26908B" w:rsidR="00D95F90" w:rsidRPr="00625DF1" w:rsidRDefault="00D95F90" w:rsidP="00074AD8">
      <w:pPr>
        <w:rPr>
          <w:b/>
          <w:bCs/>
          <w:sz w:val="22"/>
          <w:szCs w:val="22"/>
          <w:lang w:val="es-ES_tradnl"/>
        </w:rPr>
      </w:pPr>
      <w:r w:rsidRPr="00625DF1">
        <w:rPr>
          <w:b/>
          <w:bCs/>
          <w:sz w:val="22"/>
          <w:szCs w:val="22"/>
          <w:lang w:val="es-ES_tradnl"/>
        </w:rPr>
        <w:t>PRESIDENT</w:t>
      </w:r>
      <w:r w:rsidR="00A62D2A" w:rsidRPr="00625DF1">
        <w:rPr>
          <w:b/>
          <w:bCs/>
          <w:sz w:val="22"/>
          <w:szCs w:val="22"/>
          <w:lang w:val="es-ES_tradnl"/>
        </w:rPr>
        <w:t>E</w:t>
      </w:r>
      <w:r w:rsidRPr="00625DF1">
        <w:rPr>
          <w:b/>
          <w:bCs/>
          <w:sz w:val="22"/>
          <w:szCs w:val="22"/>
          <w:lang w:val="es-ES_tradnl"/>
        </w:rPr>
        <w:t xml:space="preserve"> DE LA H. “LXI” LEGISLATURA </w:t>
      </w:r>
    </w:p>
    <w:p w14:paraId="4E652296" w14:textId="77777777" w:rsidR="00D95F90" w:rsidRPr="00625DF1" w:rsidRDefault="00D95F90" w:rsidP="00074AD8">
      <w:pPr>
        <w:rPr>
          <w:b/>
          <w:bCs/>
          <w:sz w:val="22"/>
          <w:szCs w:val="22"/>
          <w:lang w:val="es-ES_tradnl"/>
        </w:rPr>
      </w:pPr>
      <w:r w:rsidRPr="00625DF1">
        <w:rPr>
          <w:b/>
          <w:bCs/>
          <w:sz w:val="22"/>
          <w:szCs w:val="22"/>
          <w:lang w:val="es-ES_tradnl"/>
        </w:rPr>
        <w:t>DEL ESTADO DE MÉXICO</w:t>
      </w:r>
    </w:p>
    <w:p w14:paraId="22C90255" w14:textId="204A4294" w:rsidR="00574DEA" w:rsidRPr="00625DF1" w:rsidRDefault="00574DEA" w:rsidP="00074AD8">
      <w:pPr>
        <w:rPr>
          <w:b/>
          <w:bCs/>
          <w:sz w:val="22"/>
          <w:szCs w:val="22"/>
        </w:rPr>
      </w:pPr>
      <w:r w:rsidRPr="00625DF1">
        <w:rPr>
          <w:b/>
          <w:bCs/>
          <w:sz w:val="22"/>
          <w:szCs w:val="22"/>
        </w:rPr>
        <w:t>P R E S E N T E</w:t>
      </w:r>
    </w:p>
    <w:p w14:paraId="146B2D34" w14:textId="1AAAEF6D" w:rsidR="000513EC" w:rsidRPr="00377967" w:rsidRDefault="003A758D" w:rsidP="00202AA5">
      <w:pPr>
        <w:tabs>
          <w:tab w:val="left" w:pos="708"/>
          <w:tab w:val="left" w:pos="7230"/>
        </w:tabs>
        <w:jc w:val="left"/>
        <w:rPr>
          <w:sz w:val="14"/>
          <w:szCs w:val="14"/>
        </w:rPr>
      </w:pPr>
      <w:r w:rsidRPr="00377967">
        <w:rPr>
          <w:sz w:val="14"/>
          <w:szCs w:val="14"/>
        </w:rPr>
        <w:tab/>
      </w:r>
      <w:r w:rsidR="00202AA5" w:rsidRPr="00377967">
        <w:rPr>
          <w:sz w:val="14"/>
          <w:szCs w:val="14"/>
        </w:rPr>
        <w:tab/>
      </w:r>
    </w:p>
    <w:p w14:paraId="6EB1F1D0" w14:textId="38ED06A3" w:rsidR="000513EC" w:rsidRPr="00625DF1" w:rsidRDefault="00A9495C" w:rsidP="00E235B1">
      <w:pPr>
        <w:spacing w:after="240"/>
        <w:rPr>
          <w:sz w:val="22"/>
          <w:szCs w:val="22"/>
        </w:rPr>
      </w:pPr>
      <w:r w:rsidRPr="00625DF1">
        <w:rPr>
          <w:sz w:val="22"/>
          <w:szCs w:val="22"/>
        </w:rPr>
        <w:t>E</w:t>
      </w:r>
      <w:r w:rsidR="000513EC" w:rsidRPr="00625DF1">
        <w:rPr>
          <w:sz w:val="22"/>
          <w:szCs w:val="22"/>
        </w:rPr>
        <w:t>n ejercicio de las atribuciones que me confieren los artículos 51 fracción I y 77 fracciones V y XIX de la Constitución Política del Estado Libre y Soberano de México y 2 de la Ley Orgánica de la Administración Pública del Estado de México, me per</w:t>
      </w:r>
      <w:r w:rsidR="007C63FA" w:rsidRPr="00625DF1">
        <w:rPr>
          <w:sz w:val="22"/>
          <w:szCs w:val="22"/>
        </w:rPr>
        <w:t>mito someter</w:t>
      </w:r>
      <w:r w:rsidR="005453CE" w:rsidRPr="00625DF1">
        <w:rPr>
          <w:sz w:val="22"/>
          <w:szCs w:val="22"/>
        </w:rPr>
        <w:t>,</w:t>
      </w:r>
      <w:r w:rsidR="007C63FA" w:rsidRPr="00625DF1">
        <w:rPr>
          <w:sz w:val="22"/>
          <w:szCs w:val="22"/>
        </w:rPr>
        <w:t xml:space="preserve"> </w:t>
      </w:r>
      <w:r w:rsidRPr="00625DF1">
        <w:rPr>
          <w:sz w:val="22"/>
          <w:szCs w:val="22"/>
        </w:rPr>
        <w:t xml:space="preserve">por su digno conducto, ante </w:t>
      </w:r>
      <w:r w:rsidR="005453CE" w:rsidRPr="00625DF1">
        <w:rPr>
          <w:sz w:val="22"/>
          <w:szCs w:val="22"/>
        </w:rPr>
        <w:t>la</w:t>
      </w:r>
      <w:r w:rsidRPr="00625DF1">
        <w:rPr>
          <w:sz w:val="22"/>
          <w:szCs w:val="22"/>
        </w:rPr>
        <w:t xml:space="preserve"> </w:t>
      </w:r>
      <w:r w:rsidR="005453CE" w:rsidRPr="00625DF1">
        <w:rPr>
          <w:sz w:val="22"/>
          <w:szCs w:val="22"/>
        </w:rPr>
        <w:t>H</w:t>
      </w:r>
      <w:r w:rsidRPr="00625DF1">
        <w:rPr>
          <w:sz w:val="22"/>
          <w:szCs w:val="22"/>
        </w:rPr>
        <w:t xml:space="preserve">onorable Legislatura </w:t>
      </w:r>
      <w:r w:rsidR="00C34029" w:rsidRPr="00625DF1">
        <w:rPr>
          <w:sz w:val="22"/>
          <w:szCs w:val="22"/>
        </w:rPr>
        <w:t xml:space="preserve">del Estado de México, </w:t>
      </w:r>
      <w:r w:rsidR="000513EC" w:rsidRPr="00625DF1">
        <w:rPr>
          <w:sz w:val="22"/>
          <w:szCs w:val="22"/>
        </w:rPr>
        <w:t>la</w:t>
      </w:r>
      <w:r w:rsidRPr="00625DF1">
        <w:rPr>
          <w:sz w:val="22"/>
          <w:szCs w:val="22"/>
        </w:rPr>
        <w:t xml:space="preserve"> presente</w:t>
      </w:r>
      <w:r w:rsidR="000513EC" w:rsidRPr="00625DF1">
        <w:rPr>
          <w:sz w:val="22"/>
          <w:szCs w:val="22"/>
        </w:rPr>
        <w:t xml:space="preserve"> Iniciativa de </w:t>
      </w:r>
      <w:r w:rsidR="00BC488C" w:rsidRPr="00625DF1">
        <w:rPr>
          <w:sz w:val="22"/>
          <w:szCs w:val="22"/>
        </w:rPr>
        <w:t xml:space="preserve">Decreto por el que se expide la </w:t>
      </w:r>
      <w:r w:rsidR="000513EC" w:rsidRPr="00625DF1">
        <w:rPr>
          <w:sz w:val="22"/>
          <w:szCs w:val="22"/>
        </w:rPr>
        <w:t>Ley de Ingreso</w:t>
      </w:r>
      <w:r w:rsidR="002B27D9" w:rsidRPr="00625DF1">
        <w:rPr>
          <w:sz w:val="22"/>
          <w:szCs w:val="22"/>
        </w:rPr>
        <w:t xml:space="preserve">s del Estado de México para el </w:t>
      </w:r>
      <w:r w:rsidR="0017676A" w:rsidRPr="00625DF1">
        <w:rPr>
          <w:sz w:val="22"/>
          <w:szCs w:val="22"/>
        </w:rPr>
        <w:t xml:space="preserve">Ejercicio Fiscal </w:t>
      </w:r>
      <w:r w:rsidR="00A16427" w:rsidRPr="00625DF1">
        <w:rPr>
          <w:sz w:val="22"/>
          <w:szCs w:val="22"/>
        </w:rPr>
        <w:t>2023</w:t>
      </w:r>
      <w:r w:rsidR="000513EC" w:rsidRPr="00625DF1">
        <w:rPr>
          <w:sz w:val="22"/>
          <w:szCs w:val="22"/>
        </w:rPr>
        <w:t xml:space="preserve">, </w:t>
      </w:r>
      <w:r w:rsidR="00305D8E" w:rsidRPr="00625DF1">
        <w:rPr>
          <w:sz w:val="22"/>
          <w:szCs w:val="22"/>
        </w:rPr>
        <w:t>de conformidad con</w:t>
      </w:r>
      <w:r w:rsidR="000513EC" w:rsidRPr="00625DF1">
        <w:rPr>
          <w:sz w:val="22"/>
          <w:szCs w:val="22"/>
        </w:rPr>
        <w:t xml:space="preserve"> la siguiente:</w:t>
      </w:r>
    </w:p>
    <w:p w14:paraId="1FB10F29" w14:textId="77777777" w:rsidR="000513EC" w:rsidRPr="00625DF1" w:rsidRDefault="000513EC" w:rsidP="00377967">
      <w:pPr>
        <w:pStyle w:val="Ttulo1"/>
        <w:spacing w:line="240" w:lineRule="auto"/>
        <w:jc w:val="center"/>
        <w:rPr>
          <w:sz w:val="22"/>
          <w:szCs w:val="22"/>
        </w:rPr>
      </w:pPr>
      <w:r w:rsidRPr="00625DF1">
        <w:rPr>
          <w:sz w:val="22"/>
          <w:szCs w:val="22"/>
        </w:rPr>
        <w:t>EXPOSICIÓN DE MOTIVOS</w:t>
      </w:r>
    </w:p>
    <w:p w14:paraId="669F57E2" w14:textId="31429745" w:rsidR="000513EC" w:rsidRPr="00377967" w:rsidRDefault="000513EC" w:rsidP="00074AD8">
      <w:pPr>
        <w:rPr>
          <w:sz w:val="16"/>
          <w:szCs w:val="16"/>
        </w:rPr>
      </w:pPr>
    </w:p>
    <w:p w14:paraId="208EFA53" w14:textId="343DDCE8" w:rsidR="00C930FB" w:rsidRPr="00625DF1" w:rsidRDefault="00314A4C" w:rsidP="00377967">
      <w:pPr>
        <w:keepNext/>
        <w:keepLines/>
        <w:tabs>
          <w:tab w:val="left" w:pos="5416"/>
        </w:tabs>
        <w:spacing w:line="240" w:lineRule="auto"/>
        <w:outlineLvl w:val="0"/>
        <w:rPr>
          <w:bCs/>
          <w:sz w:val="22"/>
          <w:szCs w:val="22"/>
        </w:rPr>
      </w:pPr>
      <w:r w:rsidRPr="00625DF1">
        <w:rPr>
          <w:bCs/>
          <w:sz w:val="22"/>
          <w:szCs w:val="22"/>
        </w:rPr>
        <w:t xml:space="preserve">La Iniciativa de </w:t>
      </w:r>
      <w:r w:rsidR="00BC488C" w:rsidRPr="00625DF1">
        <w:rPr>
          <w:bCs/>
          <w:sz w:val="22"/>
          <w:szCs w:val="22"/>
        </w:rPr>
        <w:t xml:space="preserve">Decreto por el que se expide la </w:t>
      </w:r>
      <w:r w:rsidRPr="00625DF1">
        <w:rPr>
          <w:bCs/>
          <w:sz w:val="22"/>
          <w:szCs w:val="22"/>
        </w:rPr>
        <w:t xml:space="preserve">Ley de Ingresos del Estado de México para el Ejercicio Fiscal </w:t>
      </w:r>
      <w:r w:rsidR="00A16427" w:rsidRPr="00625DF1">
        <w:rPr>
          <w:bCs/>
          <w:sz w:val="22"/>
          <w:szCs w:val="22"/>
        </w:rPr>
        <w:t>2023</w:t>
      </w:r>
      <w:r w:rsidR="00C34029" w:rsidRPr="00625DF1">
        <w:rPr>
          <w:bCs/>
          <w:sz w:val="22"/>
          <w:szCs w:val="22"/>
        </w:rPr>
        <w:t>, que se presenta ante esa Soberanía</w:t>
      </w:r>
      <w:r w:rsidRPr="00625DF1">
        <w:rPr>
          <w:bCs/>
          <w:sz w:val="22"/>
          <w:szCs w:val="22"/>
        </w:rPr>
        <w:t xml:space="preserve"> se inscribe dentro del marco jurídico que establece la Constitución Política del Estado Libre y Soberano de México</w:t>
      </w:r>
      <w:r w:rsidR="00C76FC8" w:rsidRPr="00625DF1">
        <w:rPr>
          <w:bCs/>
          <w:sz w:val="22"/>
          <w:szCs w:val="22"/>
        </w:rPr>
        <w:t>,</w:t>
      </w:r>
      <w:r w:rsidRPr="00625DF1">
        <w:rPr>
          <w:bCs/>
          <w:sz w:val="22"/>
          <w:szCs w:val="22"/>
        </w:rPr>
        <w:t xml:space="preserve"> as</w:t>
      </w:r>
      <w:r w:rsidR="008A6789" w:rsidRPr="00625DF1">
        <w:rPr>
          <w:bCs/>
          <w:sz w:val="22"/>
          <w:szCs w:val="22"/>
        </w:rPr>
        <w:t>í</w:t>
      </w:r>
      <w:r w:rsidR="006A0399" w:rsidRPr="00625DF1">
        <w:rPr>
          <w:bCs/>
          <w:sz w:val="22"/>
          <w:szCs w:val="22"/>
        </w:rPr>
        <w:t xml:space="preserve"> como </w:t>
      </w:r>
      <w:r w:rsidRPr="00625DF1">
        <w:rPr>
          <w:bCs/>
          <w:sz w:val="22"/>
          <w:szCs w:val="22"/>
        </w:rPr>
        <w:t>los</w:t>
      </w:r>
      <w:r w:rsidR="003644DD" w:rsidRPr="00625DF1">
        <w:rPr>
          <w:bCs/>
          <w:sz w:val="22"/>
          <w:szCs w:val="22"/>
        </w:rPr>
        <w:t xml:space="preserve"> </w:t>
      </w:r>
      <w:r w:rsidRPr="00625DF1">
        <w:rPr>
          <w:bCs/>
          <w:sz w:val="22"/>
          <w:szCs w:val="22"/>
        </w:rPr>
        <w:t>ordenamientos estatales que regulan la actividad económica, financiera y administrativa de la Entidad</w:t>
      </w:r>
      <w:r w:rsidR="00261F1E" w:rsidRPr="00625DF1">
        <w:rPr>
          <w:bCs/>
          <w:sz w:val="22"/>
          <w:szCs w:val="22"/>
        </w:rPr>
        <w:t xml:space="preserve">, </w:t>
      </w:r>
      <w:r w:rsidRPr="00625DF1">
        <w:rPr>
          <w:bCs/>
          <w:sz w:val="22"/>
          <w:szCs w:val="22"/>
        </w:rPr>
        <w:t>la Ley Orgánica de la Administración Pública del Estado de México</w:t>
      </w:r>
      <w:r w:rsidR="00C34029" w:rsidRPr="00625DF1">
        <w:rPr>
          <w:bCs/>
          <w:sz w:val="22"/>
          <w:szCs w:val="22"/>
        </w:rPr>
        <w:t xml:space="preserve">, </w:t>
      </w:r>
      <w:r w:rsidRPr="00625DF1">
        <w:rPr>
          <w:bCs/>
          <w:sz w:val="22"/>
          <w:szCs w:val="22"/>
        </w:rPr>
        <w:t>el Código Financiero del Estado de México y Municipios</w:t>
      </w:r>
      <w:r w:rsidR="00C34029" w:rsidRPr="00625DF1">
        <w:rPr>
          <w:bCs/>
          <w:sz w:val="22"/>
          <w:szCs w:val="22"/>
        </w:rPr>
        <w:t xml:space="preserve"> y el Código Administrativo del Estado de México</w:t>
      </w:r>
      <w:r w:rsidR="00EB0CF8" w:rsidRPr="00625DF1">
        <w:rPr>
          <w:bCs/>
          <w:sz w:val="22"/>
          <w:szCs w:val="22"/>
        </w:rPr>
        <w:t>,</w:t>
      </w:r>
      <w:r w:rsidR="00261F1E" w:rsidRPr="00625DF1">
        <w:rPr>
          <w:bCs/>
          <w:sz w:val="22"/>
          <w:szCs w:val="22"/>
        </w:rPr>
        <w:t xml:space="preserve"> </w:t>
      </w:r>
      <w:r w:rsidRPr="00625DF1">
        <w:rPr>
          <w:bCs/>
          <w:sz w:val="22"/>
          <w:szCs w:val="22"/>
        </w:rPr>
        <w:t>entre otros</w:t>
      </w:r>
      <w:r w:rsidR="00C34029" w:rsidRPr="00625DF1">
        <w:rPr>
          <w:bCs/>
          <w:sz w:val="22"/>
          <w:szCs w:val="22"/>
        </w:rPr>
        <w:t xml:space="preserve"> ordenamientos aplicables</w:t>
      </w:r>
      <w:r w:rsidR="003644DD" w:rsidRPr="00625DF1">
        <w:rPr>
          <w:bCs/>
          <w:sz w:val="22"/>
          <w:szCs w:val="22"/>
        </w:rPr>
        <w:t xml:space="preserve">. </w:t>
      </w:r>
    </w:p>
    <w:p w14:paraId="54B442FE" w14:textId="77777777" w:rsidR="00C930FB" w:rsidRPr="00625DF1" w:rsidRDefault="00C930FB" w:rsidP="00C11D1B">
      <w:pPr>
        <w:tabs>
          <w:tab w:val="left" w:pos="5416"/>
        </w:tabs>
        <w:rPr>
          <w:bCs/>
          <w:sz w:val="22"/>
          <w:szCs w:val="22"/>
        </w:rPr>
      </w:pPr>
    </w:p>
    <w:p w14:paraId="2256112F" w14:textId="69DB70B2" w:rsidR="00463741" w:rsidRPr="00625DF1" w:rsidRDefault="00D0183A" w:rsidP="00C11D1B">
      <w:pPr>
        <w:tabs>
          <w:tab w:val="left" w:pos="5416"/>
        </w:tabs>
        <w:rPr>
          <w:bCs/>
          <w:sz w:val="22"/>
          <w:szCs w:val="22"/>
        </w:rPr>
      </w:pPr>
      <w:r w:rsidRPr="00625DF1">
        <w:rPr>
          <w:bCs/>
          <w:sz w:val="22"/>
          <w:szCs w:val="22"/>
        </w:rPr>
        <w:t>Su elaboración</w:t>
      </w:r>
      <w:r w:rsidR="00240315" w:rsidRPr="00625DF1">
        <w:rPr>
          <w:bCs/>
          <w:sz w:val="22"/>
          <w:szCs w:val="22"/>
        </w:rPr>
        <w:t xml:space="preserve"> </w:t>
      </w:r>
      <w:r w:rsidR="00261F1E" w:rsidRPr="00625DF1">
        <w:rPr>
          <w:bCs/>
          <w:sz w:val="22"/>
          <w:szCs w:val="22"/>
        </w:rPr>
        <w:t xml:space="preserve">atiende </w:t>
      </w:r>
      <w:r w:rsidRPr="00625DF1">
        <w:rPr>
          <w:bCs/>
          <w:sz w:val="22"/>
          <w:szCs w:val="22"/>
        </w:rPr>
        <w:t xml:space="preserve">el contexto </w:t>
      </w:r>
      <w:r w:rsidR="00463741" w:rsidRPr="00625DF1">
        <w:rPr>
          <w:bCs/>
          <w:sz w:val="22"/>
          <w:szCs w:val="22"/>
        </w:rPr>
        <w:t xml:space="preserve">económico y </w:t>
      </w:r>
      <w:r w:rsidRPr="00625DF1">
        <w:rPr>
          <w:bCs/>
          <w:sz w:val="22"/>
          <w:szCs w:val="22"/>
        </w:rPr>
        <w:t>social previsto tanto para el</w:t>
      </w:r>
      <w:r w:rsidR="0087094D" w:rsidRPr="00625DF1">
        <w:rPr>
          <w:bCs/>
          <w:sz w:val="22"/>
          <w:szCs w:val="22"/>
        </w:rPr>
        <w:t xml:space="preserve"> cierre de</w:t>
      </w:r>
      <w:r w:rsidR="00305D8E" w:rsidRPr="00625DF1">
        <w:rPr>
          <w:bCs/>
          <w:sz w:val="22"/>
          <w:szCs w:val="22"/>
        </w:rPr>
        <w:t xml:space="preserve">l </w:t>
      </w:r>
      <w:r w:rsidR="00261F1E" w:rsidRPr="00625DF1">
        <w:rPr>
          <w:bCs/>
          <w:sz w:val="22"/>
          <w:szCs w:val="22"/>
        </w:rPr>
        <w:t>E</w:t>
      </w:r>
      <w:r w:rsidR="00305D8E" w:rsidRPr="00625DF1">
        <w:rPr>
          <w:bCs/>
          <w:sz w:val="22"/>
          <w:szCs w:val="22"/>
        </w:rPr>
        <w:t xml:space="preserve">jercicio </w:t>
      </w:r>
      <w:r w:rsidR="00261F1E" w:rsidRPr="00625DF1">
        <w:rPr>
          <w:bCs/>
          <w:sz w:val="22"/>
          <w:szCs w:val="22"/>
        </w:rPr>
        <w:t>F</w:t>
      </w:r>
      <w:r w:rsidR="00305D8E" w:rsidRPr="00625DF1">
        <w:rPr>
          <w:bCs/>
          <w:sz w:val="22"/>
          <w:szCs w:val="22"/>
        </w:rPr>
        <w:t>iscal</w:t>
      </w:r>
      <w:r w:rsidR="0087094D" w:rsidRPr="00625DF1">
        <w:rPr>
          <w:bCs/>
          <w:sz w:val="22"/>
          <w:szCs w:val="22"/>
        </w:rPr>
        <w:t xml:space="preserve"> </w:t>
      </w:r>
      <w:r w:rsidR="00A16427" w:rsidRPr="00625DF1">
        <w:rPr>
          <w:bCs/>
          <w:sz w:val="22"/>
          <w:szCs w:val="22"/>
        </w:rPr>
        <w:t>2022</w:t>
      </w:r>
      <w:r w:rsidR="00B51C7A" w:rsidRPr="00625DF1">
        <w:rPr>
          <w:bCs/>
          <w:sz w:val="22"/>
          <w:szCs w:val="22"/>
        </w:rPr>
        <w:t xml:space="preserve"> </w:t>
      </w:r>
      <w:r w:rsidRPr="00625DF1">
        <w:rPr>
          <w:bCs/>
          <w:sz w:val="22"/>
          <w:szCs w:val="22"/>
        </w:rPr>
        <w:t xml:space="preserve">como </w:t>
      </w:r>
      <w:r w:rsidR="00261F1E" w:rsidRPr="00625DF1">
        <w:rPr>
          <w:bCs/>
          <w:sz w:val="22"/>
          <w:szCs w:val="22"/>
        </w:rPr>
        <w:t xml:space="preserve">el que se </w:t>
      </w:r>
      <w:r w:rsidR="002C2765" w:rsidRPr="00625DF1">
        <w:rPr>
          <w:bCs/>
          <w:sz w:val="22"/>
          <w:szCs w:val="22"/>
        </w:rPr>
        <w:t>vislumbra</w:t>
      </w:r>
      <w:r w:rsidR="00261F1E" w:rsidRPr="00625DF1">
        <w:rPr>
          <w:bCs/>
          <w:sz w:val="22"/>
          <w:szCs w:val="22"/>
        </w:rPr>
        <w:t xml:space="preserve"> para </w:t>
      </w:r>
      <w:r w:rsidR="00314A4C" w:rsidRPr="00625DF1">
        <w:rPr>
          <w:bCs/>
          <w:sz w:val="22"/>
          <w:szCs w:val="22"/>
        </w:rPr>
        <w:t xml:space="preserve">el </w:t>
      </w:r>
      <w:r w:rsidR="00261F1E" w:rsidRPr="00625DF1">
        <w:rPr>
          <w:bCs/>
          <w:sz w:val="22"/>
          <w:szCs w:val="22"/>
        </w:rPr>
        <w:t>E</w:t>
      </w:r>
      <w:r w:rsidR="00314A4C" w:rsidRPr="00625DF1">
        <w:rPr>
          <w:bCs/>
          <w:sz w:val="22"/>
          <w:szCs w:val="22"/>
        </w:rPr>
        <w:t xml:space="preserve">jercicio </w:t>
      </w:r>
      <w:r w:rsidR="00261F1E" w:rsidRPr="00625DF1">
        <w:rPr>
          <w:bCs/>
          <w:sz w:val="22"/>
          <w:szCs w:val="22"/>
        </w:rPr>
        <w:t>F</w:t>
      </w:r>
      <w:r w:rsidR="00314A4C" w:rsidRPr="00625DF1">
        <w:rPr>
          <w:bCs/>
          <w:sz w:val="22"/>
          <w:szCs w:val="22"/>
        </w:rPr>
        <w:t xml:space="preserve">iscal </w:t>
      </w:r>
      <w:r w:rsidR="00A16427" w:rsidRPr="00625DF1">
        <w:rPr>
          <w:bCs/>
          <w:sz w:val="22"/>
          <w:szCs w:val="22"/>
        </w:rPr>
        <w:t>2023</w:t>
      </w:r>
      <w:r w:rsidR="00C930FB" w:rsidRPr="00625DF1">
        <w:rPr>
          <w:bCs/>
          <w:sz w:val="22"/>
          <w:szCs w:val="22"/>
        </w:rPr>
        <w:t xml:space="preserve">. </w:t>
      </w:r>
      <w:r w:rsidR="0075075C" w:rsidRPr="00625DF1">
        <w:rPr>
          <w:bCs/>
          <w:sz w:val="22"/>
          <w:szCs w:val="22"/>
        </w:rPr>
        <w:t>Para ello</w:t>
      </w:r>
      <w:r w:rsidR="00C930FB" w:rsidRPr="00625DF1">
        <w:rPr>
          <w:bCs/>
          <w:sz w:val="22"/>
          <w:szCs w:val="22"/>
        </w:rPr>
        <w:t>, tras tres años de</w:t>
      </w:r>
      <w:r w:rsidR="00261F1E" w:rsidRPr="00625DF1">
        <w:rPr>
          <w:bCs/>
          <w:sz w:val="22"/>
          <w:szCs w:val="22"/>
        </w:rPr>
        <w:t>sde la declaración de la Organización Mundial de la Salud del</w:t>
      </w:r>
      <w:r w:rsidR="00C930FB" w:rsidRPr="00625DF1">
        <w:rPr>
          <w:bCs/>
          <w:sz w:val="22"/>
          <w:szCs w:val="22"/>
        </w:rPr>
        <w:t xml:space="preserve"> inicio de la pandemia </w:t>
      </w:r>
      <w:r w:rsidR="002C2765" w:rsidRPr="00625DF1">
        <w:rPr>
          <w:bCs/>
          <w:sz w:val="22"/>
          <w:szCs w:val="22"/>
        </w:rPr>
        <w:t>ocasionada por el virus SARS-CoV2</w:t>
      </w:r>
      <w:r w:rsidR="00C930FB" w:rsidRPr="00625DF1">
        <w:rPr>
          <w:bCs/>
          <w:sz w:val="22"/>
          <w:szCs w:val="22"/>
        </w:rPr>
        <w:t>,</w:t>
      </w:r>
      <w:r w:rsidR="005F6CBA" w:rsidRPr="00625DF1">
        <w:rPr>
          <w:bCs/>
          <w:sz w:val="22"/>
          <w:szCs w:val="22"/>
        </w:rPr>
        <w:t xml:space="preserve"> </w:t>
      </w:r>
      <w:r w:rsidR="00C930FB" w:rsidRPr="00625DF1">
        <w:rPr>
          <w:bCs/>
          <w:sz w:val="22"/>
          <w:szCs w:val="22"/>
        </w:rPr>
        <w:t>si bien</w:t>
      </w:r>
      <w:r w:rsidR="00261F1E" w:rsidRPr="00625DF1">
        <w:rPr>
          <w:bCs/>
          <w:sz w:val="22"/>
          <w:szCs w:val="22"/>
        </w:rPr>
        <w:t>,</w:t>
      </w:r>
      <w:r w:rsidR="00C930FB" w:rsidRPr="00625DF1">
        <w:rPr>
          <w:bCs/>
          <w:sz w:val="22"/>
          <w:szCs w:val="22"/>
        </w:rPr>
        <w:t xml:space="preserve"> </w:t>
      </w:r>
      <w:r w:rsidR="005F6CBA" w:rsidRPr="00625DF1">
        <w:rPr>
          <w:bCs/>
          <w:sz w:val="22"/>
          <w:szCs w:val="22"/>
        </w:rPr>
        <w:t xml:space="preserve">aún no es posible </w:t>
      </w:r>
      <w:r w:rsidR="00C930FB" w:rsidRPr="00625DF1">
        <w:rPr>
          <w:bCs/>
          <w:sz w:val="22"/>
          <w:szCs w:val="22"/>
        </w:rPr>
        <w:t>anunciar su conclusión</w:t>
      </w:r>
      <w:r w:rsidR="005F6CBA" w:rsidRPr="00625DF1">
        <w:rPr>
          <w:bCs/>
          <w:sz w:val="22"/>
          <w:szCs w:val="22"/>
        </w:rPr>
        <w:t xml:space="preserve">, </w:t>
      </w:r>
      <w:r w:rsidR="002C2765" w:rsidRPr="00625DF1">
        <w:rPr>
          <w:bCs/>
          <w:sz w:val="22"/>
          <w:szCs w:val="22"/>
        </w:rPr>
        <w:t>los acontecimientos a lo largo</w:t>
      </w:r>
      <w:r w:rsidR="00261F1E" w:rsidRPr="00625DF1">
        <w:rPr>
          <w:bCs/>
          <w:sz w:val="22"/>
          <w:szCs w:val="22"/>
        </w:rPr>
        <w:t xml:space="preserve"> del </w:t>
      </w:r>
      <w:r w:rsidR="005F6CBA" w:rsidRPr="00625DF1">
        <w:rPr>
          <w:bCs/>
          <w:sz w:val="22"/>
          <w:szCs w:val="22"/>
        </w:rPr>
        <w:t>año 2022</w:t>
      </w:r>
      <w:r w:rsidR="00261F1E" w:rsidRPr="00625DF1">
        <w:rPr>
          <w:bCs/>
          <w:sz w:val="22"/>
          <w:szCs w:val="22"/>
        </w:rPr>
        <w:t>,</w:t>
      </w:r>
      <w:r w:rsidR="005F6CBA" w:rsidRPr="00625DF1">
        <w:rPr>
          <w:bCs/>
          <w:sz w:val="22"/>
          <w:szCs w:val="22"/>
        </w:rPr>
        <w:t xml:space="preserve"> ha</w:t>
      </w:r>
      <w:r w:rsidR="002C2765" w:rsidRPr="00625DF1">
        <w:rPr>
          <w:bCs/>
          <w:sz w:val="22"/>
          <w:szCs w:val="22"/>
        </w:rPr>
        <w:t>n delineado</w:t>
      </w:r>
      <w:r w:rsidR="005F6CBA" w:rsidRPr="00625DF1">
        <w:rPr>
          <w:bCs/>
          <w:sz w:val="22"/>
          <w:szCs w:val="22"/>
        </w:rPr>
        <w:t xml:space="preserve"> un panorama relativamente benigno en comparación </w:t>
      </w:r>
      <w:r w:rsidR="0027737E" w:rsidRPr="00625DF1">
        <w:rPr>
          <w:bCs/>
          <w:sz w:val="22"/>
          <w:szCs w:val="22"/>
        </w:rPr>
        <w:t>con</w:t>
      </w:r>
      <w:r w:rsidR="005F6CBA" w:rsidRPr="00625DF1">
        <w:rPr>
          <w:bCs/>
          <w:sz w:val="22"/>
          <w:szCs w:val="22"/>
        </w:rPr>
        <w:t xml:space="preserve"> los años previos de </w:t>
      </w:r>
      <w:r w:rsidR="00642A3D" w:rsidRPr="00625DF1">
        <w:rPr>
          <w:bCs/>
          <w:sz w:val="22"/>
          <w:szCs w:val="22"/>
        </w:rPr>
        <w:t>2020</w:t>
      </w:r>
      <w:r w:rsidR="005F6CBA" w:rsidRPr="00625DF1">
        <w:rPr>
          <w:bCs/>
          <w:sz w:val="22"/>
          <w:szCs w:val="22"/>
        </w:rPr>
        <w:t xml:space="preserve"> y </w:t>
      </w:r>
      <w:r w:rsidR="00642A3D" w:rsidRPr="00625DF1">
        <w:rPr>
          <w:bCs/>
          <w:sz w:val="22"/>
          <w:szCs w:val="22"/>
        </w:rPr>
        <w:t>2021</w:t>
      </w:r>
      <w:r w:rsidR="00261F1E" w:rsidRPr="00625DF1">
        <w:rPr>
          <w:bCs/>
          <w:sz w:val="22"/>
          <w:szCs w:val="22"/>
        </w:rPr>
        <w:t>;</w:t>
      </w:r>
      <w:r w:rsidR="006A0399" w:rsidRPr="00625DF1">
        <w:rPr>
          <w:bCs/>
          <w:sz w:val="22"/>
          <w:szCs w:val="22"/>
        </w:rPr>
        <w:t xml:space="preserve"> p</w:t>
      </w:r>
      <w:r w:rsidR="005F6CBA" w:rsidRPr="00625DF1">
        <w:rPr>
          <w:bCs/>
          <w:sz w:val="22"/>
          <w:szCs w:val="22"/>
        </w:rPr>
        <w:t xml:space="preserve">articularmente, a raíz de los avances en la vacunación contra el </w:t>
      </w:r>
      <w:r w:rsidR="002C2765" w:rsidRPr="00625DF1">
        <w:rPr>
          <w:bCs/>
          <w:sz w:val="22"/>
          <w:szCs w:val="22"/>
        </w:rPr>
        <w:t>COVID-19 así como</w:t>
      </w:r>
      <w:r w:rsidR="005F6CBA" w:rsidRPr="00625DF1">
        <w:rPr>
          <w:bCs/>
          <w:sz w:val="22"/>
          <w:szCs w:val="22"/>
        </w:rPr>
        <w:t xml:space="preserve"> las diversas estrategias y medidas implementadas para mitigar su contagio</w:t>
      </w:r>
      <w:r w:rsidR="002C2765" w:rsidRPr="00625DF1">
        <w:rPr>
          <w:bCs/>
          <w:sz w:val="22"/>
          <w:szCs w:val="22"/>
        </w:rPr>
        <w:t xml:space="preserve"> entre la población</w:t>
      </w:r>
      <w:r w:rsidR="005F6CBA" w:rsidRPr="00625DF1">
        <w:rPr>
          <w:bCs/>
          <w:sz w:val="22"/>
          <w:szCs w:val="22"/>
        </w:rPr>
        <w:t xml:space="preserve">, en 2022 se ha observado una disminución </w:t>
      </w:r>
      <w:r w:rsidR="002C2765" w:rsidRPr="00625DF1">
        <w:rPr>
          <w:bCs/>
          <w:sz w:val="22"/>
          <w:szCs w:val="22"/>
        </w:rPr>
        <w:t>en</w:t>
      </w:r>
      <w:r w:rsidR="005F6CBA" w:rsidRPr="00625DF1">
        <w:rPr>
          <w:bCs/>
          <w:sz w:val="22"/>
          <w:szCs w:val="22"/>
        </w:rPr>
        <w:t xml:space="preserve"> la letalidad del fenómeno</w:t>
      </w:r>
      <w:r w:rsidR="00D36495" w:rsidRPr="00625DF1">
        <w:rPr>
          <w:bCs/>
          <w:sz w:val="22"/>
          <w:szCs w:val="22"/>
        </w:rPr>
        <w:t>. De acuerdo con la Organización Mundial de la Salud</w:t>
      </w:r>
      <w:r w:rsidR="00B45BEC" w:rsidRPr="00625DF1">
        <w:rPr>
          <w:rStyle w:val="Refdenotaalpie"/>
          <w:bCs/>
          <w:sz w:val="22"/>
          <w:szCs w:val="22"/>
        </w:rPr>
        <w:footnoteReference w:id="2"/>
      </w:r>
      <w:r w:rsidR="00D36495" w:rsidRPr="00625DF1">
        <w:rPr>
          <w:bCs/>
          <w:sz w:val="22"/>
          <w:szCs w:val="22"/>
        </w:rPr>
        <w:t>,</w:t>
      </w:r>
      <w:r w:rsidR="005F6CBA" w:rsidRPr="00625DF1">
        <w:rPr>
          <w:bCs/>
          <w:sz w:val="22"/>
          <w:szCs w:val="22"/>
        </w:rPr>
        <w:t xml:space="preserve"> </w:t>
      </w:r>
      <w:r w:rsidR="00D36495" w:rsidRPr="00625DF1">
        <w:rPr>
          <w:bCs/>
          <w:sz w:val="22"/>
          <w:szCs w:val="22"/>
        </w:rPr>
        <w:t xml:space="preserve">mientras en 2020 y 2021 se </w:t>
      </w:r>
      <w:r w:rsidR="00EB2F49" w:rsidRPr="00625DF1">
        <w:rPr>
          <w:bCs/>
          <w:sz w:val="22"/>
          <w:szCs w:val="22"/>
        </w:rPr>
        <w:t>registraron</w:t>
      </w:r>
      <w:r w:rsidR="006A59EF" w:rsidRPr="00625DF1">
        <w:rPr>
          <w:bCs/>
          <w:sz w:val="22"/>
          <w:szCs w:val="22"/>
        </w:rPr>
        <w:t>,</w:t>
      </w:r>
      <w:r w:rsidR="00D36495" w:rsidRPr="00625DF1">
        <w:rPr>
          <w:bCs/>
          <w:sz w:val="22"/>
          <w:szCs w:val="22"/>
        </w:rPr>
        <w:t xml:space="preserve"> </w:t>
      </w:r>
      <w:r w:rsidR="00D80110" w:rsidRPr="00625DF1">
        <w:rPr>
          <w:bCs/>
          <w:sz w:val="22"/>
          <w:szCs w:val="22"/>
        </w:rPr>
        <w:t>respectivamente</w:t>
      </w:r>
      <w:r w:rsidR="006A59EF" w:rsidRPr="00625DF1">
        <w:rPr>
          <w:bCs/>
          <w:sz w:val="22"/>
          <w:szCs w:val="22"/>
        </w:rPr>
        <w:t>,</w:t>
      </w:r>
      <w:r w:rsidR="00D80110" w:rsidRPr="00625DF1">
        <w:rPr>
          <w:bCs/>
          <w:sz w:val="22"/>
          <w:szCs w:val="22"/>
        </w:rPr>
        <w:t xml:space="preserve"> </w:t>
      </w:r>
      <w:r w:rsidR="00D36495" w:rsidRPr="00625DF1">
        <w:rPr>
          <w:bCs/>
          <w:sz w:val="22"/>
          <w:szCs w:val="22"/>
        </w:rPr>
        <w:t xml:space="preserve">un total de 2 y 3.5 millones de defunciones causadas por COVID-19 en todo el mundo, </w:t>
      </w:r>
      <w:r w:rsidR="00EB2F49" w:rsidRPr="00625DF1">
        <w:rPr>
          <w:bCs/>
          <w:sz w:val="22"/>
          <w:szCs w:val="22"/>
        </w:rPr>
        <w:t xml:space="preserve">durante </w:t>
      </w:r>
      <w:r w:rsidR="00D36495" w:rsidRPr="00625DF1">
        <w:rPr>
          <w:bCs/>
          <w:sz w:val="22"/>
          <w:szCs w:val="22"/>
        </w:rPr>
        <w:t xml:space="preserve">el 2022 se han registrado </w:t>
      </w:r>
      <w:r w:rsidR="00C930FB" w:rsidRPr="00625DF1">
        <w:rPr>
          <w:bCs/>
          <w:sz w:val="22"/>
          <w:szCs w:val="22"/>
        </w:rPr>
        <w:t xml:space="preserve">poco más de </w:t>
      </w:r>
      <w:r w:rsidR="00D36495" w:rsidRPr="00625DF1">
        <w:rPr>
          <w:bCs/>
          <w:sz w:val="22"/>
          <w:szCs w:val="22"/>
        </w:rPr>
        <w:t>1</w:t>
      </w:r>
      <w:r w:rsidR="006D3CFB" w:rsidRPr="00625DF1">
        <w:rPr>
          <w:bCs/>
          <w:sz w:val="22"/>
          <w:szCs w:val="22"/>
        </w:rPr>
        <w:t>.1</w:t>
      </w:r>
      <w:r w:rsidR="00D36495" w:rsidRPr="00625DF1">
        <w:rPr>
          <w:bCs/>
          <w:sz w:val="22"/>
          <w:szCs w:val="22"/>
        </w:rPr>
        <w:t xml:space="preserve"> mill</w:t>
      </w:r>
      <w:r w:rsidR="0060645E" w:rsidRPr="00625DF1">
        <w:rPr>
          <w:bCs/>
          <w:sz w:val="22"/>
          <w:szCs w:val="22"/>
        </w:rPr>
        <w:t>ones</w:t>
      </w:r>
      <w:r w:rsidR="00B45BEC" w:rsidRPr="00625DF1">
        <w:rPr>
          <w:bCs/>
          <w:sz w:val="22"/>
          <w:szCs w:val="22"/>
        </w:rPr>
        <w:t xml:space="preserve">. </w:t>
      </w:r>
      <w:r w:rsidR="006A0540" w:rsidRPr="00625DF1">
        <w:rPr>
          <w:bCs/>
          <w:sz w:val="22"/>
          <w:szCs w:val="22"/>
        </w:rPr>
        <w:t>En</w:t>
      </w:r>
      <w:r w:rsidR="00B45BEC" w:rsidRPr="00625DF1">
        <w:rPr>
          <w:bCs/>
          <w:sz w:val="22"/>
          <w:szCs w:val="22"/>
        </w:rPr>
        <w:t xml:space="preserve"> el caso de México</w:t>
      </w:r>
      <w:r w:rsidR="006A59EF" w:rsidRPr="00625DF1">
        <w:rPr>
          <w:bCs/>
          <w:sz w:val="22"/>
          <w:szCs w:val="22"/>
        </w:rPr>
        <w:t>,</w:t>
      </w:r>
      <w:r w:rsidR="00B45BEC" w:rsidRPr="00625DF1">
        <w:rPr>
          <w:bCs/>
          <w:sz w:val="22"/>
          <w:szCs w:val="22"/>
        </w:rPr>
        <w:t xml:space="preserve"> </w:t>
      </w:r>
      <w:r w:rsidR="006A0540" w:rsidRPr="00625DF1">
        <w:rPr>
          <w:bCs/>
          <w:sz w:val="22"/>
          <w:szCs w:val="22"/>
        </w:rPr>
        <w:t xml:space="preserve">las cifras anteriores han pasado </w:t>
      </w:r>
      <w:r w:rsidR="00B45BEC" w:rsidRPr="00625DF1">
        <w:rPr>
          <w:bCs/>
          <w:sz w:val="22"/>
          <w:szCs w:val="22"/>
        </w:rPr>
        <w:t>de 15</w:t>
      </w:r>
      <w:r w:rsidR="006D3CFB" w:rsidRPr="00625DF1">
        <w:rPr>
          <w:bCs/>
          <w:sz w:val="22"/>
          <w:szCs w:val="22"/>
        </w:rPr>
        <w:t>1</w:t>
      </w:r>
      <w:r w:rsidR="00B45BEC" w:rsidRPr="00625DF1">
        <w:rPr>
          <w:bCs/>
          <w:sz w:val="22"/>
          <w:szCs w:val="22"/>
        </w:rPr>
        <w:t xml:space="preserve"> mil y 15</w:t>
      </w:r>
      <w:r w:rsidR="006D3CFB" w:rsidRPr="00625DF1">
        <w:rPr>
          <w:bCs/>
          <w:sz w:val="22"/>
          <w:szCs w:val="22"/>
        </w:rPr>
        <w:t>3</w:t>
      </w:r>
      <w:r w:rsidR="00B45BEC" w:rsidRPr="00625DF1">
        <w:rPr>
          <w:bCs/>
          <w:sz w:val="22"/>
          <w:szCs w:val="22"/>
        </w:rPr>
        <w:t xml:space="preserve"> mil en 2020 y 2021</w:t>
      </w:r>
      <w:r w:rsidR="006A59EF" w:rsidRPr="00625DF1">
        <w:rPr>
          <w:bCs/>
          <w:sz w:val="22"/>
          <w:szCs w:val="22"/>
        </w:rPr>
        <w:t xml:space="preserve"> respectivamente,</w:t>
      </w:r>
      <w:r w:rsidR="00B45BEC" w:rsidRPr="00625DF1">
        <w:rPr>
          <w:bCs/>
          <w:sz w:val="22"/>
          <w:szCs w:val="22"/>
        </w:rPr>
        <w:t xml:space="preserve"> a 26 mil en lo que va de</w:t>
      </w:r>
      <w:r w:rsidR="006A59EF" w:rsidRPr="00625DF1">
        <w:rPr>
          <w:bCs/>
          <w:sz w:val="22"/>
          <w:szCs w:val="22"/>
        </w:rPr>
        <w:t>l año</w:t>
      </w:r>
      <w:r w:rsidR="00B45BEC" w:rsidRPr="00625DF1">
        <w:rPr>
          <w:bCs/>
          <w:sz w:val="22"/>
          <w:szCs w:val="22"/>
        </w:rPr>
        <w:t xml:space="preserve"> 2022.</w:t>
      </w:r>
    </w:p>
    <w:p w14:paraId="767AACFD" w14:textId="5B4B534E" w:rsidR="00ED659D" w:rsidRPr="00625DF1" w:rsidRDefault="00ED659D" w:rsidP="00C11D1B">
      <w:pPr>
        <w:tabs>
          <w:tab w:val="left" w:pos="5416"/>
        </w:tabs>
        <w:rPr>
          <w:bCs/>
          <w:sz w:val="22"/>
          <w:szCs w:val="22"/>
        </w:rPr>
      </w:pPr>
    </w:p>
    <w:p w14:paraId="07C511A9" w14:textId="2D20A8DC" w:rsidR="0075075C" w:rsidRPr="00625DF1" w:rsidRDefault="00EB2F49" w:rsidP="004A5C3E">
      <w:pPr>
        <w:tabs>
          <w:tab w:val="left" w:pos="5416"/>
        </w:tabs>
        <w:rPr>
          <w:sz w:val="22"/>
          <w:szCs w:val="22"/>
        </w:rPr>
      </w:pPr>
      <w:r w:rsidRPr="00625DF1">
        <w:rPr>
          <w:sz w:val="22"/>
          <w:szCs w:val="22"/>
        </w:rPr>
        <w:t>La di</w:t>
      </w:r>
      <w:r w:rsidR="00EB0CF8" w:rsidRPr="00625DF1">
        <w:rPr>
          <w:sz w:val="22"/>
          <w:szCs w:val="22"/>
        </w:rPr>
        <w:t>s</w:t>
      </w:r>
      <w:r w:rsidRPr="00625DF1">
        <w:rPr>
          <w:sz w:val="22"/>
          <w:szCs w:val="22"/>
        </w:rPr>
        <w:t xml:space="preserve">minución en víctimas mortales y contagios por COVID-19, han resultado fundamentales para retomar la dinámica con la que se desarrollaban las actividades previo a la pandemia, no obstante, aún se viven las secuelas en materia económica, las cuales, junto con </w:t>
      </w:r>
      <w:r w:rsidR="00A86AB4" w:rsidRPr="00625DF1">
        <w:rPr>
          <w:sz w:val="22"/>
          <w:szCs w:val="22"/>
        </w:rPr>
        <w:t xml:space="preserve">el conflicto </w:t>
      </w:r>
      <w:r w:rsidR="00854452" w:rsidRPr="00625DF1">
        <w:rPr>
          <w:sz w:val="22"/>
          <w:szCs w:val="22"/>
        </w:rPr>
        <w:t xml:space="preserve">geopolítico </w:t>
      </w:r>
      <w:r w:rsidR="00A86AB4" w:rsidRPr="00625DF1">
        <w:rPr>
          <w:sz w:val="22"/>
          <w:szCs w:val="22"/>
        </w:rPr>
        <w:t>entre Ucrania y Rusia</w:t>
      </w:r>
      <w:r w:rsidRPr="00625DF1">
        <w:rPr>
          <w:sz w:val="22"/>
          <w:szCs w:val="22"/>
        </w:rPr>
        <w:t xml:space="preserve"> y</w:t>
      </w:r>
      <w:r w:rsidR="00A86AB4" w:rsidRPr="00625DF1">
        <w:rPr>
          <w:sz w:val="22"/>
          <w:szCs w:val="22"/>
        </w:rPr>
        <w:t xml:space="preserve"> </w:t>
      </w:r>
      <w:r w:rsidR="00C930FB" w:rsidRPr="00625DF1">
        <w:rPr>
          <w:sz w:val="22"/>
          <w:szCs w:val="22"/>
        </w:rPr>
        <w:t>el incremento en los precios</w:t>
      </w:r>
      <w:r w:rsidR="0075075C" w:rsidRPr="00625DF1">
        <w:rPr>
          <w:sz w:val="22"/>
          <w:szCs w:val="22"/>
        </w:rPr>
        <w:t xml:space="preserve"> internacionales</w:t>
      </w:r>
      <w:r w:rsidR="00C930FB" w:rsidRPr="00625DF1">
        <w:rPr>
          <w:sz w:val="22"/>
          <w:szCs w:val="22"/>
        </w:rPr>
        <w:t xml:space="preserve"> de las principales materias primas</w:t>
      </w:r>
      <w:r w:rsidR="0075075C" w:rsidRPr="00625DF1">
        <w:rPr>
          <w:sz w:val="22"/>
          <w:szCs w:val="22"/>
        </w:rPr>
        <w:t xml:space="preserve"> </w:t>
      </w:r>
      <w:r w:rsidRPr="00625DF1">
        <w:rPr>
          <w:sz w:val="22"/>
          <w:szCs w:val="22"/>
        </w:rPr>
        <w:t xml:space="preserve">que </w:t>
      </w:r>
      <w:r w:rsidR="0075075C" w:rsidRPr="00625DF1">
        <w:rPr>
          <w:sz w:val="22"/>
          <w:szCs w:val="22"/>
        </w:rPr>
        <w:t xml:space="preserve">ha prevalecido durante un periodo mayor al estimado a inicios de 2022, </w:t>
      </w:r>
      <w:r w:rsidRPr="00625DF1">
        <w:rPr>
          <w:sz w:val="22"/>
          <w:szCs w:val="22"/>
        </w:rPr>
        <w:t>han impulsado</w:t>
      </w:r>
      <w:r w:rsidR="0075075C" w:rsidRPr="00625DF1">
        <w:rPr>
          <w:sz w:val="22"/>
          <w:szCs w:val="22"/>
        </w:rPr>
        <w:t xml:space="preserve"> los niveles de inflación a cifras no vistas en décadas, posicionándose de manera</w:t>
      </w:r>
      <w:r w:rsidR="006A0540" w:rsidRPr="00625DF1">
        <w:rPr>
          <w:sz w:val="22"/>
          <w:szCs w:val="22"/>
        </w:rPr>
        <w:t xml:space="preserve"> inesperada como </w:t>
      </w:r>
      <w:r w:rsidR="00C26F71" w:rsidRPr="00625DF1">
        <w:rPr>
          <w:sz w:val="22"/>
          <w:szCs w:val="22"/>
        </w:rPr>
        <w:t>el tema</w:t>
      </w:r>
      <w:r w:rsidR="00983148" w:rsidRPr="00625DF1">
        <w:rPr>
          <w:sz w:val="22"/>
          <w:szCs w:val="22"/>
        </w:rPr>
        <w:t xml:space="preserve"> de mayor importancia </w:t>
      </w:r>
      <w:r w:rsidR="00C26F71" w:rsidRPr="00625DF1">
        <w:rPr>
          <w:sz w:val="22"/>
          <w:szCs w:val="22"/>
        </w:rPr>
        <w:t>en el ámbito de las políticas</w:t>
      </w:r>
      <w:r w:rsidR="006A0540" w:rsidRPr="00625DF1">
        <w:rPr>
          <w:sz w:val="22"/>
          <w:szCs w:val="22"/>
        </w:rPr>
        <w:t xml:space="preserve"> públicas a nivel global</w:t>
      </w:r>
      <w:r w:rsidR="00C26F71" w:rsidRPr="00625DF1">
        <w:rPr>
          <w:sz w:val="22"/>
          <w:szCs w:val="22"/>
        </w:rPr>
        <w:t>.</w:t>
      </w:r>
      <w:r w:rsidR="00A86AB4" w:rsidRPr="00625DF1">
        <w:rPr>
          <w:sz w:val="22"/>
          <w:szCs w:val="22"/>
        </w:rPr>
        <w:t xml:space="preserve"> </w:t>
      </w:r>
    </w:p>
    <w:p w14:paraId="6210105B" w14:textId="77777777" w:rsidR="0075075C" w:rsidRPr="00625DF1" w:rsidRDefault="0075075C" w:rsidP="004A5C3E">
      <w:pPr>
        <w:tabs>
          <w:tab w:val="left" w:pos="5416"/>
        </w:tabs>
        <w:rPr>
          <w:sz w:val="22"/>
          <w:szCs w:val="22"/>
        </w:rPr>
      </w:pPr>
    </w:p>
    <w:p w14:paraId="7CF23FFA" w14:textId="37F6DE80" w:rsidR="004B3A49" w:rsidRPr="00625DF1" w:rsidRDefault="0075075C" w:rsidP="00377967">
      <w:pPr>
        <w:tabs>
          <w:tab w:val="left" w:pos="5416"/>
        </w:tabs>
        <w:spacing w:after="240"/>
        <w:rPr>
          <w:sz w:val="22"/>
          <w:szCs w:val="22"/>
        </w:rPr>
      </w:pPr>
      <w:r w:rsidRPr="00625DF1">
        <w:rPr>
          <w:sz w:val="22"/>
          <w:szCs w:val="22"/>
        </w:rPr>
        <w:t>E</w:t>
      </w:r>
      <w:r w:rsidR="00983148" w:rsidRPr="00625DF1">
        <w:rPr>
          <w:sz w:val="22"/>
          <w:szCs w:val="22"/>
        </w:rPr>
        <w:t xml:space="preserve">s </w:t>
      </w:r>
      <w:r w:rsidR="00932D8E" w:rsidRPr="00625DF1">
        <w:rPr>
          <w:sz w:val="22"/>
          <w:szCs w:val="22"/>
        </w:rPr>
        <w:t>de gran importancia reconocer</w:t>
      </w:r>
      <w:r w:rsidR="004C73A0" w:rsidRPr="00625DF1">
        <w:rPr>
          <w:sz w:val="22"/>
          <w:szCs w:val="22"/>
        </w:rPr>
        <w:t xml:space="preserve"> </w:t>
      </w:r>
      <w:r w:rsidR="00983148" w:rsidRPr="00625DF1">
        <w:rPr>
          <w:sz w:val="22"/>
          <w:szCs w:val="22"/>
        </w:rPr>
        <w:t xml:space="preserve">que </w:t>
      </w:r>
      <w:r w:rsidRPr="00625DF1">
        <w:rPr>
          <w:sz w:val="22"/>
          <w:szCs w:val="22"/>
        </w:rPr>
        <w:t>los niveles de inflación que hoy se observan en diversas economías, entre ellas la mexicana,</w:t>
      </w:r>
      <w:r w:rsidR="00983148" w:rsidRPr="00625DF1">
        <w:rPr>
          <w:sz w:val="22"/>
          <w:szCs w:val="22"/>
        </w:rPr>
        <w:t xml:space="preserve"> </w:t>
      </w:r>
      <w:r w:rsidR="00932D8E" w:rsidRPr="00625DF1">
        <w:rPr>
          <w:sz w:val="22"/>
          <w:szCs w:val="22"/>
        </w:rPr>
        <w:t>no resulta un tema menor</w:t>
      </w:r>
      <w:r w:rsidR="00FC2D5B" w:rsidRPr="00625DF1">
        <w:rPr>
          <w:sz w:val="22"/>
          <w:szCs w:val="22"/>
        </w:rPr>
        <w:t>,</w:t>
      </w:r>
      <w:r w:rsidR="00983148" w:rsidRPr="00625DF1">
        <w:rPr>
          <w:sz w:val="22"/>
          <w:szCs w:val="22"/>
        </w:rPr>
        <w:t xml:space="preserve"> ya que </w:t>
      </w:r>
      <w:r w:rsidRPr="00625DF1">
        <w:rPr>
          <w:sz w:val="22"/>
          <w:szCs w:val="22"/>
        </w:rPr>
        <w:t xml:space="preserve">vulnera el poder adquisitivo de los hogares, </w:t>
      </w:r>
      <w:r w:rsidR="00983148" w:rsidRPr="00625DF1">
        <w:rPr>
          <w:sz w:val="22"/>
          <w:szCs w:val="22"/>
        </w:rPr>
        <w:t xml:space="preserve">principalmente </w:t>
      </w:r>
      <w:r w:rsidRPr="00625DF1">
        <w:rPr>
          <w:sz w:val="22"/>
          <w:szCs w:val="22"/>
        </w:rPr>
        <w:t>de</w:t>
      </w:r>
      <w:r w:rsidR="00983148" w:rsidRPr="00625DF1">
        <w:rPr>
          <w:sz w:val="22"/>
          <w:szCs w:val="22"/>
        </w:rPr>
        <w:t xml:space="preserve"> </w:t>
      </w:r>
      <w:r w:rsidRPr="00625DF1">
        <w:rPr>
          <w:sz w:val="22"/>
          <w:szCs w:val="22"/>
        </w:rPr>
        <w:t>aquellos</w:t>
      </w:r>
      <w:r w:rsidR="00983148" w:rsidRPr="00625DF1">
        <w:rPr>
          <w:sz w:val="22"/>
          <w:szCs w:val="22"/>
        </w:rPr>
        <w:t xml:space="preserve"> con menores recursos</w:t>
      </w:r>
      <w:r w:rsidR="006A0540" w:rsidRPr="00625DF1">
        <w:rPr>
          <w:sz w:val="22"/>
          <w:szCs w:val="22"/>
        </w:rPr>
        <w:t>,</w:t>
      </w:r>
      <w:r w:rsidR="004A5C3E" w:rsidRPr="00625DF1">
        <w:rPr>
          <w:sz w:val="22"/>
          <w:szCs w:val="22"/>
        </w:rPr>
        <w:t xml:space="preserve"> e incide </w:t>
      </w:r>
      <w:r w:rsidR="006A0540" w:rsidRPr="00625DF1">
        <w:rPr>
          <w:sz w:val="22"/>
          <w:szCs w:val="22"/>
        </w:rPr>
        <w:t>de manera directa</w:t>
      </w:r>
      <w:r w:rsidR="004A5C3E" w:rsidRPr="00625DF1">
        <w:rPr>
          <w:sz w:val="22"/>
          <w:szCs w:val="22"/>
        </w:rPr>
        <w:t xml:space="preserve"> en los niveles de pobreza de la población</w:t>
      </w:r>
      <w:r w:rsidR="00983148" w:rsidRPr="00625DF1">
        <w:rPr>
          <w:sz w:val="22"/>
          <w:szCs w:val="22"/>
        </w:rPr>
        <w:t xml:space="preserve">. </w:t>
      </w:r>
      <w:r w:rsidR="00A86AB4" w:rsidRPr="00625DF1">
        <w:rPr>
          <w:sz w:val="22"/>
          <w:szCs w:val="22"/>
        </w:rPr>
        <w:t xml:space="preserve">Por lo anterior, </w:t>
      </w:r>
      <w:r w:rsidR="00A83196" w:rsidRPr="00625DF1">
        <w:rPr>
          <w:sz w:val="22"/>
          <w:szCs w:val="22"/>
        </w:rPr>
        <w:t xml:space="preserve">la </w:t>
      </w:r>
      <w:r w:rsidR="00E35200" w:rsidRPr="00625DF1">
        <w:rPr>
          <w:sz w:val="22"/>
          <w:szCs w:val="22"/>
        </w:rPr>
        <w:t>Iniciativa</w:t>
      </w:r>
      <w:r w:rsidR="00A83196" w:rsidRPr="00625DF1">
        <w:rPr>
          <w:sz w:val="22"/>
          <w:szCs w:val="22"/>
        </w:rPr>
        <w:t xml:space="preserve"> </w:t>
      </w:r>
      <w:r w:rsidR="00E35200" w:rsidRPr="00625DF1">
        <w:rPr>
          <w:sz w:val="22"/>
          <w:szCs w:val="22"/>
        </w:rPr>
        <w:t xml:space="preserve">de Ley de Ingresos del Estado de México para el </w:t>
      </w:r>
      <w:r w:rsidR="0017676A" w:rsidRPr="00625DF1">
        <w:rPr>
          <w:sz w:val="22"/>
          <w:szCs w:val="22"/>
        </w:rPr>
        <w:t xml:space="preserve">Ejercicio Fiscal </w:t>
      </w:r>
      <w:r w:rsidR="00A948DC" w:rsidRPr="00625DF1">
        <w:rPr>
          <w:sz w:val="22"/>
          <w:szCs w:val="22"/>
        </w:rPr>
        <w:t>2023</w:t>
      </w:r>
      <w:r w:rsidR="00E35200" w:rsidRPr="00625DF1">
        <w:rPr>
          <w:sz w:val="22"/>
          <w:szCs w:val="22"/>
        </w:rPr>
        <w:t xml:space="preserve"> </w:t>
      </w:r>
      <w:r w:rsidR="00A83196" w:rsidRPr="00625DF1">
        <w:rPr>
          <w:sz w:val="22"/>
          <w:szCs w:val="22"/>
        </w:rPr>
        <w:t>que se presenta a continuación</w:t>
      </w:r>
      <w:r w:rsidR="00E35200" w:rsidRPr="00625DF1">
        <w:rPr>
          <w:sz w:val="22"/>
          <w:szCs w:val="22"/>
        </w:rPr>
        <w:t>,</w:t>
      </w:r>
      <w:r w:rsidR="00A83196" w:rsidRPr="00625DF1">
        <w:rPr>
          <w:sz w:val="22"/>
          <w:szCs w:val="22"/>
        </w:rPr>
        <w:t xml:space="preserve"> prioriza el fortalecimiento de las finanzas públicas del Estado </w:t>
      </w:r>
      <w:r w:rsidR="000C18AE" w:rsidRPr="00625DF1">
        <w:rPr>
          <w:sz w:val="22"/>
          <w:szCs w:val="22"/>
        </w:rPr>
        <w:t>con una política fiscal prudente centrada en</w:t>
      </w:r>
      <w:r w:rsidR="00932D8E" w:rsidRPr="00625DF1">
        <w:rPr>
          <w:sz w:val="22"/>
          <w:szCs w:val="22"/>
        </w:rPr>
        <w:t xml:space="preserve"> </w:t>
      </w:r>
      <w:r w:rsidR="000C18AE" w:rsidRPr="00625DF1">
        <w:rPr>
          <w:sz w:val="22"/>
          <w:szCs w:val="22"/>
        </w:rPr>
        <w:t xml:space="preserve">brindar las herramientas </w:t>
      </w:r>
      <w:r w:rsidR="00932D8E" w:rsidRPr="00625DF1">
        <w:rPr>
          <w:sz w:val="22"/>
          <w:szCs w:val="22"/>
        </w:rPr>
        <w:t>que</w:t>
      </w:r>
      <w:r w:rsidR="000C18AE" w:rsidRPr="00625DF1">
        <w:rPr>
          <w:sz w:val="22"/>
          <w:szCs w:val="22"/>
        </w:rPr>
        <w:t xml:space="preserve"> permitan, de manera conjunta y coordinada</w:t>
      </w:r>
      <w:r w:rsidR="006C60B8" w:rsidRPr="00625DF1">
        <w:rPr>
          <w:sz w:val="22"/>
          <w:szCs w:val="22"/>
        </w:rPr>
        <w:t xml:space="preserve"> a</w:t>
      </w:r>
      <w:r w:rsidR="000C18AE" w:rsidRPr="00625DF1">
        <w:rPr>
          <w:sz w:val="22"/>
          <w:szCs w:val="22"/>
        </w:rPr>
        <w:t xml:space="preserve"> los tres órdenes de gobierno,</w:t>
      </w:r>
      <w:r w:rsidR="00A86AB4" w:rsidRPr="00625DF1">
        <w:rPr>
          <w:sz w:val="22"/>
          <w:szCs w:val="22"/>
        </w:rPr>
        <w:t xml:space="preserve"> procurar el</w:t>
      </w:r>
      <w:r w:rsidR="006A59EF" w:rsidRPr="00625DF1">
        <w:rPr>
          <w:sz w:val="22"/>
          <w:szCs w:val="22"/>
        </w:rPr>
        <w:t xml:space="preserve"> </w:t>
      </w:r>
      <w:r w:rsidR="00A86AB4" w:rsidRPr="00625DF1">
        <w:rPr>
          <w:sz w:val="22"/>
          <w:szCs w:val="22"/>
        </w:rPr>
        <w:t>ingreso de los mexiquenses.</w:t>
      </w:r>
    </w:p>
    <w:p w14:paraId="09FB5797" w14:textId="1E92D82E" w:rsidR="000513EC" w:rsidRPr="00625DF1" w:rsidRDefault="00B57542" w:rsidP="006732B9">
      <w:pPr>
        <w:pStyle w:val="Ttulo2"/>
        <w:spacing w:before="0"/>
        <w:rPr>
          <w:b/>
          <w:bCs/>
          <w:sz w:val="22"/>
          <w:szCs w:val="22"/>
        </w:rPr>
      </w:pPr>
      <w:r w:rsidRPr="00625DF1">
        <w:rPr>
          <w:b/>
          <w:bCs/>
          <w:sz w:val="22"/>
          <w:szCs w:val="22"/>
        </w:rPr>
        <w:t>Desempeño de la economía global</w:t>
      </w:r>
    </w:p>
    <w:p w14:paraId="552729A9" w14:textId="77777777" w:rsidR="004F447C" w:rsidRDefault="004F447C" w:rsidP="00B57542">
      <w:pPr>
        <w:rPr>
          <w:sz w:val="22"/>
          <w:szCs w:val="22"/>
        </w:rPr>
      </w:pPr>
    </w:p>
    <w:p w14:paraId="0C1A4313" w14:textId="66E04D67" w:rsidR="00DC4821" w:rsidRPr="00625DF1" w:rsidRDefault="00EB2F49" w:rsidP="00B57542">
      <w:pPr>
        <w:rPr>
          <w:sz w:val="22"/>
          <w:szCs w:val="22"/>
        </w:rPr>
      </w:pPr>
      <w:r w:rsidRPr="00625DF1">
        <w:rPr>
          <w:sz w:val="22"/>
          <w:szCs w:val="22"/>
        </w:rPr>
        <w:t>En</w:t>
      </w:r>
      <w:r w:rsidR="006A59EF" w:rsidRPr="00625DF1">
        <w:rPr>
          <w:sz w:val="22"/>
          <w:szCs w:val="22"/>
        </w:rPr>
        <w:t xml:space="preserve"> </w:t>
      </w:r>
      <w:r w:rsidRPr="00625DF1">
        <w:rPr>
          <w:sz w:val="22"/>
          <w:szCs w:val="22"/>
        </w:rPr>
        <w:t>2020 y 2021</w:t>
      </w:r>
      <w:r w:rsidR="008D0DDB" w:rsidRPr="00625DF1">
        <w:rPr>
          <w:sz w:val="22"/>
          <w:szCs w:val="22"/>
        </w:rPr>
        <w:t>,</w:t>
      </w:r>
      <w:r w:rsidRPr="00625DF1">
        <w:rPr>
          <w:sz w:val="22"/>
          <w:szCs w:val="22"/>
        </w:rPr>
        <w:t xml:space="preserve"> </w:t>
      </w:r>
      <w:r w:rsidR="00C87EE6" w:rsidRPr="00625DF1">
        <w:rPr>
          <w:sz w:val="22"/>
          <w:szCs w:val="22"/>
        </w:rPr>
        <w:t>p</w:t>
      </w:r>
      <w:r w:rsidR="006B3796" w:rsidRPr="00625DF1">
        <w:rPr>
          <w:sz w:val="22"/>
          <w:szCs w:val="22"/>
        </w:rPr>
        <w:t>ese a</w:t>
      </w:r>
      <w:r w:rsidR="00277884" w:rsidRPr="00625DF1">
        <w:rPr>
          <w:sz w:val="22"/>
          <w:szCs w:val="22"/>
        </w:rPr>
        <w:t xml:space="preserve"> los impactos económicos </w:t>
      </w:r>
      <w:r w:rsidR="006B3796" w:rsidRPr="00625DF1">
        <w:rPr>
          <w:sz w:val="22"/>
          <w:szCs w:val="22"/>
        </w:rPr>
        <w:t>que generó</w:t>
      </w:r>
      <w:r w:rsidR="00277884" w:rsidRPr="00625DF1">
        <w:rPr>
          <w:sz w:val="22"/>
          <w:szCs w:val="22"/>
        </w:rPr>
        <w:t xml:space="preserve"> la pandemia de COVID-19 derivados</w:t>
      </w:r>
      <w:r w:rsidR="006A59EF" w:rsidRPr="00625DF1">
        <w:rPr>
          <w:sz w:val="22"/>
          <w:szCs w:val="22"/>
        </w:rPr>
        <w:t xml:space="preserve"> </w:t>
      </w:r>
      <w:r w:rsidR="00277884" w:rsidRPr="00625DF1">
        <w:rPr>
          <w:sz w:val="22"/>
          <w:szCs w:val="22"/>
        </w:rPr>
        <w:t xml:space="preserve">de la reducción de la movilidad de las personas, </w:t>
      </w:r>
      <w:r w:rsidR="006B3796" w:rsidRPr="00625DF1">
        <w:rPr>
          <w:sz w:val="22"/>
          <w:szCs w:val="22"/>
        </w:rPr>
        <w:t xml:space="preserve">fue posible observar una relativa estabilidad en la evolución de los precios de </w:t>
      </w:r>
      <w:r w:rsidR="00A10BDE" w:rsidRPr="00625DF1">
        <w:rPr>
          <w:sz w:val="22"/>
          <w:szCs w:val="22"/>
        </w:rPr>
        <w:t>las materias primas</w:t>
      </w:r>
      <w:r w:rsidRPr="00625DF1">
        <w:rPr>
          <w:sz w:val="22"/>
          <w:szCs w:val="22"/>
        </w:rPr>
        <w:t>; s</w:t>
      </w:r>
      <w:r w:rsidR="00A10BDE" w:rsidRPr="00625DF1">
        <w:rPr>
          <w:sz w:val="22"/>
          <w:szCs w:val="22"/>
        </w:rPr>
        <w:t xml:space="preserve">in embargo, </w:t>
      </w:r>
      <w:r w:rsidR="00277884" w:rsidRPr="00625DF1">
        <w:rPr>
          <w:sz w:val="22"/>
          <w:szCs w:val="22"/>
        </w:rPr>
        <w:t xml:space="preserve">en 2022 </w:t>
      </w:r>
      <w:r w:rsidR="00A10BDE" w:rsidRPr="00625DF1">
        <w:rPr>
          <w:sz w:val="22"/>
          <w:szCs w:val="22"/>
        </w:rPr>
        <w:t xml:space="preserve">la economía global </w:t>
      </w:r>
      <w:r w:rsidR="005906B1" w:rsidRPr="00625DF1">
        <w:rPr>
          <w:sz w:val="22"/>
          <w:szCs w:val="22"/>
        </w:rPr>
        <w:t>h</w:t>
      </w:r>
      <w:r w:rsidR="00A10BDE" w:rsidRPr="00625DF1">
        <w:rPr>
          <w:sz w:val="22"/>
          <w:szCs w:val="22"/>
        </w:rPr>
        <w:t>a presenciado</w:t>
      </w:r>
      <w:r w:rsidR="006B3796" w:rsidRPr="00625DF1">
        <w:rPr>
          <w:sz w:val="22"/>
          <w:szCs w:val="22"/>
        </w:rPr>
        <w:t xml:space="preserve"> </w:t>
      </w:r>
      <w:r w:rsidRPr="00625DF1">
        <w:rPr>
          <w:sz w:val="22"/>
          <w:szCs w:val="22"/>
        </w:rPr>
        <w:t>diversas distorsiones</w:t>
      </w:r>
      <w:r w:rsidR="00277884" w:rsidRPr="00625DF1">
        <w:rPr>
          <w:sz w:val="22"/>
          <w:szCs w:val="22"/>
        </w:rPr>
        <w:t xml:space="preserve"> </w:t>
      </w:r>
      <w:r w:rsidR="008957E5" w:rsidRPr="00625DF1">
        <w:rPr>
          <w:sz w:val="22"/>
          <w:szCs w:val="22"/>
        </w:rPr>
        <w:t xml:space="preserve">no previstas </w:t>
      </w:r>
      <w:r w:rsidR="00A10BDE" w:rsidRPr="00625DF1">
        <w:rPr>
          <w:sz w:val="22"/>
          <w:szCs w:val="22"/>
        </w:rPr>
        <w:t xml:space="preserve">tanto </w:t>
      </w:r>
      <w:r w:rsidR="00642A3D" w:rsidRPr="00625DF1">
        <w:rPr>
          <w:sz w:val="22"/>
          <w:szCs w:val="22"/>
        </w:rPr>
        <w:t>en la</w:t>
      </w:r>
      <w:r w:rsidR="00A10BDE" w:rsidRPr="00625DF1">
        <w:rPr>
          <w:sz w:val="22"/>
          <w:szCs w:val="22"/>
        </w:rPr>
        <w:t xml:space="preserve"> oferta como </w:t>
      </w:r>
      <w:r w:rsidR="00642A3D" w:rsidRPr="00625DF1">
        <w:rPr>
          <w:sz w:val="22"/>
          <w:szCs w:val="22"/>
        </w:rPr>
        <w:t>en la</w:t>
      </w:r>
      <w:r w:rsidR="00A10BDE" w:rsidRPr="00625DF1">
        <w:rPr>
          <w:sz w:val="22"/>
          <w:szCs w:val="22"/>
        </w:rPr>
        <w:t xml:space="preserve"> demanda</w:t>
      </w:r>
      <w:r w:rsidR="006614AD" w:rsidRPr="00625DF1">
        <w:rPr>
          <w:sz w:val="22"/>
          <w:szCs w:val="22"/>
        </w:rPr>
        <w:t xml:space="preserve"> </w:t>
      </w:r>
      <w:r w:rsidR="00277884" w:rsidRPr="00625DF1">
        <w:rPr>
          <w:sz w:val="22"/>
          <w:szCs w:val="22"/>
        </w:rPr>
        <w:t xml:space="preserve">que han </w:t>
      </w:r>
      <w:r w:rsidR="005906B1" w:rsidRPr="00625DF1">
        <w:rPr>
          <w:sz w:val="22"/>
          <w:szCs w:val="22"/>
        </w:rPr>
        <w:t>alterado</w:t>
      </w:r>
      <w:r w:rsidR="00A10BDE" w:rsidRPr="00625DF1">
        <w:rPr>
          <w:sz w:val="22"/>
          <w:szCs w:val="22"/>
        </w:rPr>
        <w:t xml:space="preserve"> dicha estabilidad, como lo ha sido l</w:t>
      </w:r>
      <w:r w:rsidR="00277884" w:rsidRPr="00625DF1">
        <w:rPr>
          <w:sz w:val="22"/>
          <w:szCs w:val="22"/>
        </w:rPr>
        <w:t>a reconfiguración de los patrones de consumo de los hogares, l</w:t>
      </w:r>
      <w:r w:rsidR="00A10BDE" w:rsidRPr="00625DF1">
        <w:rPr>
          <w:sz w:val="22"/>
          <w:szCs w:val="22"/>
        </w:rPr>
        <w:t>a</w:t>
      </w:r>
      <w:r w:rsidR="00277884" w:rsidRPr="00625DF1">
        <w:rPr>
          <w:sz w:val="22"/>
          <w:szCs w:val="22"/>
        </w:rPr>
        <w:t>s</w:t>
      </w:r>
      <w:r w:rsidR="00A10BDE" w:rsidRPr="00625DF1">
        <w:rPr>
          <w:sz w:val="22"/>
          <w:szCs w:val="22"/>
        </w:rPr>
        <w:t xml:space="preserve"> adaptaciones de los</w:t>
      </w:r>
      <w:r w:rsidR="00277884" w:rsidRPr="00625DF1">
        <w:rPr>
          <w:sz w:val="22"/>
          <w:szCs w:val="22"/>
        </w:rPr>
        <w:t xml:space="preserve"> esquemas logísticos de las empresas y un desabasto de insumos más persistente de lo esperado. </w:t>
      </w:r>
    </w:p>
    <w:p w14:paraId="201D4C39" w14:textId="77777777" w:rsidR="00DC4821" w:rsidRPr="00625DF1" w:rsidRDefault="00DC4821" w:rsidP="00B57542">
      <w:pPr>
        <w:rPr>
          <w:sz w:val="22"/>
          <w:szCs w:val="22"/>
        </w:rPr>
      </w:pPr>
    </w:p>
    <w:p w14:paraId="3682170F" w14:textId="2A42A01F" w:rsidR="00B57542" w:rsidRPr="00625DF1" w:rsidRDefault="007F0ECA" w:rsidP="00B57542">
      <w:pPr>
        <w:rPr>
          <w:sz w:val="22"/>
          <w:szCs w:val="22"/>
        </w:rPr>
      </w:pPr>
      <w:r w:rsidRPr="00625DF1">
        <w:rPr>
          <w:sz w:val="22"/>
          <w:szCs w:val="22"/>
        </w:rPr>
        <w:t>Sumado a lo anterior, el conflicto bélico entre Rusia y Ucrania</w:t>
      </w:r>
      <w:r w:rsidR="005906B1" w:rsidRPr="00625DF1">
        <w:rPr>
          <w:sz w:val="22"/>
          <w:szCs w:val="22"/>
        </w:rPr>
        <w:t>,</w:t>
      </w:r>
      <w:r w:rsidRPr="00625DF1">
        <w:rPr>
          <w:sz w:val="22"/>
          <w:szCs w:val="22"/>
        </w:rPr>
        <w:t xml:space="preserve"> iniciado el 24 de febrero del presente año</w:t>
      </w:r>
      <w:r w:rsidR="005906B1" w:rsidRPr="00625DF1">
        <w:rPr>
          <w:sz w:val="22"/>
          <w:szCs w:val="22"/>
        </w:rPr>
        <w:t>,</w:t>
      </w:r>
      <w:r w:rsidRPr="00625DF1">
        <w:rPr>
          <w:sz w:val="22"/>
          <w:szCs w:val="22"/>
        </w:rPr>
        <w:t xml:space="preserve"> ha incidido en una mayor disrupción en las cadenas globales de valor y el alza en el precio de las materias primas</w:t>
      </w:r>
      <w:r w:rsidR="00642A3D" w:rsidRPr="00625DF1">
        <w:rPr>
          <w:sz w:val="22"/>
          <w:szCs w:val="22"/>
        </w:rPr>
        <w:t xml:space="preserve"> (alimentos y energéticos principalmente)</w:t>
      </w:r>
      <w:r w:rsidR="006B3796" w:rsidRPr="00625DF1">
        <w:rPr>
          <w:sz w:val="22"/>
          <w:szCs w:val="22"/>
        </w:rPr>
        <w:t>,</w:t>
      </w:r>
      <w:r w:rsidRPr="00625DF1">
        <w:rPr>
          <w:sz w:val="22"/>
          <w:szCs w:val="22"/>
        </w:rPr>
        <w:t xml:space="preserve"> ampliando </w:t>
      </w:r>
      <w:r w:rsidR="006B3796" w:rsidRPr="00625DF1">
        <w:rPr>
          <w:sz w:val="22"/>
          <w:szCs w:val="22"/>
        </w:rPr>
        <w:t xml:space="preserve">así, </w:t>
      </w:r>
      <w:r w:rsidRPr="00625DF1">
        <w:rPr>
          <w:sz w:val="22"/>
          <w:szCs w:val="22"/>
        </w:rPr>
        <w:t>el</w:t>
      </w:r>
      <w:r w:rsidR="006614AD" w:rsidRPr="00625DF1">
        <w:rPr>
          <w:sz w:val="22"/>
          <w:szCs w:val="22"/>
        </w:rPr>
        <w:t xml:space="preserve"> </w:t>
      </w:r>
      <w:r w:rsidRPr="00625DF1">
        <w:rPr>
          <w:sz w:val="22"/>
          <w:szCs w:val="22"/>
        </w:rPr>
        <w:t>desequilibrio comercial que alimenta las presiones inflacionarias</w:t>
      </w:r>
      <w:r w:rsidR="00A10BDE" w:rsidRPr="00625DF1">
        <w:rPr>
          <w:sz w:val="22"/>
          <w:szCs w:val="22"/>
        </w:rPr>
        <w:t xml:space="preserve"> actuales</w:t>
      </w:r>
      <w:r w:rsidRPr="00625DF1">
        <w:rPr>
          <w:sz w:val="22"/>
          <w:szCs w:val="22"/>
        </w:rPr>
        <w:t xml:space="preserve"> </w:t>
      </w:r>
      <w:r w:rsidR="006614AD" w:rsidRPr="00625DF1">
        <w:rPr>
          <w:sz w:val="22"/>
          <w:szCs w:val="22"/>
        </w:rPr>
        <w:t xml:space="preserve">hasta </w:t>
      </w:r>
      <w:r w:rsidR="005906B1" w:rsidRPr="00625DF1">
        <w:rPr>
          <w:sz w:val="22"/>
          <w:szCs w:val="22"/>
        </w:rPr>
        <w:t>alcanzar</w:t>
      </w:r>
      <w:r w:rsidR="00A10BDE" w:rsidRPr="00625DF1">
        <w:rPr>
          <w:sz w:val="22"/>
          <w:szCs w:val="22"/>
        </w:rPr>
        <w:t xml:space="preserve"> niveles</w:t>
      </w:r>
      <w:r w:rsidR="00DC4821" w:rsidRPr="00625DF1">
        <w:rPr>
          <w:sz w:val="22"/>
          <w:szCs w:val="22"/>
        </w:rPr>
        <w:t xml:space="preserve"> no vistos en décadas</w:t>
      </w:r>
      <w:r w:rsidR="00827F89" w:rsidRPr="00625DF1">
        <w:rPr>
          <w:sz w:val="22"/>
          <w:szCs w:val="22"/>
        </w:rPr>
        <w:t>,</w:t>
      </w:r>
      <w:r w:rsidR="00DC4821" w:rsidRPr="00625DF1">
        <w:rPr>
          <w:sz w:val="22"/>
          <w:szCs w:val="22"/>
        </w:rPr>
        <w:t xml:space="preserve"> con</w:t>
      </w:r>
      <w:r w:rsidR="00A10BDE" w:rsidRPr="00625DF1">
        <w:rPr>
          <w:sz w:val="22"/>
          <w:szCs w:val="22"/>
        </w:rPr>
        <w:t xml:space="preserve"> </w:t>
      </w:r>
      <w:r w:rsidR="00DC4821" w:rsidRPr="00625DF1">
        <w:rPr>
          <w:sz w:val="22"/>
          <w:szCs w:val="22"/>
        </w:rPr>
        <w:t>un promedio cercano al 10</w:t>
      </w:r>
      <w:r w:rsidR="00311EB4" w:rsidRPr="00625DF1">
        <w:rPr>
          <w:sz w:val="22"/>
          <w:szCs w:val="22"/>
        </w:rPr>
        <w:t xml:space="preserve"> por ciento</w:t>
      </w:r>
      <w:r w:rsidR="00DC4821" w:rsidRPr="00625DF1">
        <w:rPr>
          <w:sz w:val="22"/>
          <w:szCs w:val="22"/>
        </w:rPr>
        <w:t xml:space="preserve"> </w:t>
      </w:r>
      <w:r w:rsidR="00DF1F43" w:rsidRPr="00625DF1">
        <w:rPr>
          <w:sz w:val="22"/>
          <w:szCs w:val="22"/>
        </w:rPr>
        <w:t>anual</w:t>
      </w:r>
      <w:r w:rsidR="006614AD" w:rsidRPr="00625DF1">
        <w:rPr>
          <w:sz w:val="22"/>
          <w:szCs w:val="22"/>
        </w:rPr>
        <w:t>,</w:t>
      </w:r>
      <w:r w:rsidR="00DF1F43" w:rsidRPr="00625DF1">
        <w:rPr>
          <w:sz w:val="22"/>
          <w:szCs w:val="22"/>
        </w:rPr>
        <w:t xml:space="preserve"> </w:t>
      </w:r>
      <w:r w:rsidR="00C87EE6" w:rsidRPr="00625DF1">
        <w:rPr>
          <w:sz w:val="22"/>
          <w:szCs w:val="22"/>
        </w:rPr>
        <w:t>considerando</w:t>
      </w:r>
      <w:r w:rsidR="00DC4821" w:rsidRPr="00625DF1">
        <w:rPr>
          <w:sz w:val="22"/>
          <w:szCs w:val="22"/>
        </w:rPr>
        <w:t xml:space="preserve"> </w:t>
      </w:r>
      <w:r w:rsidR="00245B4B" w:rsidRPr="00625DF1">
        <w:rPr>
          <w:sz w:val="22"/>
          <w:szCs w:val="22"/>
        </w:rPr>
        <w:t xml:space="preserve">diversos </w:t>
      </w:r>
      <w:r w:rsidR="00DC4821" w:rsidRPr="00625DF1">
        <w:rPr>
          <w:sz w:val="22"/>
          <w:szCs w:val="22"/>
        </w:rPr>
        <w:t>países</w:t>
      </w:r>
      <w:r w:rsidR="00245B4B" w:rsidRPr="00625DF1">
        <w:rPr>
          <w:sz w:val="22"/>
          <w:szCs w:val="22"/>
        </w:rPr>
        <w:t xml:space="preserve"> de Latinoamérica,</w:t>
      </w:r>
      <w:r w:rsidR="00A10BDE" w:rsidRPr="00625DF1">
        <w:rPr>
          <w:sz w:val="22"/>
          <w:szCs w:val="22"/>
        </w:rPr>
        <w:t xml:space="preserve"> </w:t>
      </w:r>
      <w:r w:rsidR="00C87EE6" w:rsidRPr="00625DF1">
        <w:rPr>
          <w:sz w:val="22"/>
          <w:szCs w:val="22"/>
        </w:rPr>
        <w:t>de la Unión Europea, o</w:t>
      </w:r>
      <w:r w:rsidR="00642A3D" w:rsidRPr="00625DF1">
        <w:rPr>
          <w:sz w:val="22"/>
          <w:szCs w:val="22"/>
        </w:rPr>
        <w:t xml:space="preserve"> países </w:t>
      </w:r>
      <w:r w:rsidR="00DC4821" w:rsidRPr="00625DF1">
        <w:rPr>
          <w:sz w:val="22"/>
          <w:szCs w:val="22"/>
        </w:rPr>
        <w:t>miembros de la Organización para la Cooperación y el Desarrollo Económicos (OCDE)</w:t>
      </w:r>
      <w:r w:rsidR="003856F6" w:rsidRPr="00625DF1">
        <w:rPr>
          <w:rStyle w:val="Refdenotaalpie"/>
          <w:sz w:val="22"/>
          <w:szCs w:val="22"/>
        </w:rPr>
        <w:t xml:space="preserve"> </w:t>
      </w:r>
      <w:r w:rsidR="003856F6" w:rsidRPr="00625DF1">
        <w:rPr>
          <w:rStyle w:val="Refdenotaalpie"/>
          <w:sz w:val="22"/>
          <w:szCs w:val="22"/>
        </w:rPr>
        <w:footnoteReference w:id="3"/>
      </w:r>
      <w:r w:rsidRPr="00625DF1">
        <w:rPr>
          <w:sz w:val="22"/>
          <w:szCs w:val="22"/>
        </w:rPr>
        <w:t>.</w:t>
      </w:r>
    </w:p>
    <w:p w14:paraId="16B5CF62" w14:textId="0BCC118E" w:rsidR="00DC4821" w:rsidRPr="00625DF1" w:rsidRDefault="00DC4821" w:rsidP="00B57542">
      <w:pPr>
        <w:rPr>
          <w:sz w:val="22"/>
          <w:szCs w:val="22"/>
        </w:rPr>
      </w:pPr>
    </w:p>
    <w:p w14:paraId="18582181" w14:textId="7732EFF5" w:rsidR="00642A3D" w:rsidRPr="00625DF1" w:rsidRDefault="00C55463" w:rsidP="00B57542">
      <w:pPr>
        <w:rPr>
          <w:sz w:val="22"/>
          <w:szCs w:val="22"/>
        </w:rPr>
      </w:pPr>
      <w:r w:rsidRPr="00625DF1">
        <w:rPr>
          <w:sz w:val="22"/>
          <w:szCs w:val="22"/>
        </w:rPr>
        <w:lastRenderedPageBreak/>
        <w:t>En respuesta</w:t>
      </w:r>
      <w:r w:rsidR="006614AD" w:rsidRPr="00625DF1">
        <w:rPr>
          <w:sz w:val="22"/>
          <w:szCs w:val="22"/>
        </w:rPr>
        <w:t xml:space="preserve"> a lo anterior,</w:t>
      </w:r>
      <w:r w:rsidRPr="00625DF1">
        <w:rPr>
          <w:sz w:val="22"/>
          <w:szCs w:val="22"/>
        </w:rPr>
        <w:t xml:space="preserve"> </w:t>
      </w:r>
      <w:r w:rsidR="00C87EE6" w:rsidRPr="00625DF1">
        <w:rPr>
          <w:sz w:val="22"/>
          <w:szCs w:val="22"/>
        </w:rPr>
        <w:t xml:space="preserve">para moderar el alza de precios, </w:t>
      </w:r>
      <w:r w:rsidR="008B1657" w:rsidRPr="00625DF1">
        <w:rPr>
          <w:sz w:val="22"/>
          <w:szCs w:val="22"/>
        </w:rPr>
        <w:t xml:space="preserve">los principales bancos </w:t>
      </w:r>
      <w:r w:rsidR="006614AD" w:rsidRPr="00625DF1">
        <w:rPr>
          <w:sz w:val="22"/>
          <w:szCs w:val="22"/>
        </w:rPr>
        <w:t>centrales incrementaron</w:t>
      </w:r>
      <w:r w:rsidR="00C87EE6" w:rsidRPr="00625DF1">
        <w:rPr>
          <w:sz w:val="22"/>
          <w:szCs w:val="22"/>
        </w:rPr>
        <w:t xml:space="preserve"> de forma </w:t>
      </w:r>
      <w:r w:rsidR="008B1657" w:rsidRPr="00625DF1">
        <w:rPr>
          <w:sz w:val="22"/>
          <w:szCs w:val="22"/>
        </w:rPr>
        <w:t>gradual las</w:t>
      </w:r>
      <w:r w:rsidRPr="00625DF1">
        <w:rPr>
          <w:sz w:val="22"/>
          <w:szCs w:val="22"/>
        </w:rPr>
        <w:t xml:space="preserve"> tasas de interés</w:t>
      </w:r>
      <w:r w:rsidR="00C87EE6" w:rsidRPr="00625DF1">
        <w:rPr>
          <w:sz w:val="22"/>
          <w:szCs w:val="22"/>
        </w:rPr>
        <w:t xml:space="preserve"> con el objetivo de</w:t>
      </w:r>
      <w:r w:rsidRPr="00625DF1">
        <w:rPr>
          <w:sz w:val="22"/>
          <w:szCs w:val="22"/>
        </w:rPr>
        <w:t xml:space="preserve"> </w:t>
      </w:r>
      <w:r w:rsidR="00642A3D" w:rsidRPr="00625DF1">
        <w:rPr>
          <w:sz w:val="22"/>
          <w:szCs w:val="22"/>
        </w:rPr>
        <w:t xml:space="preserve">incentivar el ahorro, </w:t>
      </w:r>
      <w:r w:rsidRPr="00625DF1">
        <w:rPr>
          <w:sz w:val="22"/>
          <w:szCs w:val="22"/>
        </w:rPr>
        <w:t xml:space="preserve">contener la demanda, y así, </w:t>
      </w:r>
      <w:r w:rsidR="008B1657" w:rsidRPr="00625DF1">
        <w:rPr>
          <w:sz w:val="22"/>
          <w:szCs w:val="22"/>
        </w:rPr>
        <w:t>aproximarla</w:t>
      </w:r>
      <w:r w:rsidRPr="00625DF1">
        <w:rPr>
          <w:sz w:val="22"/>
          <w:szCs w:val="22"/>
        </w:rPr>
        <w:t xml:space="preserve"> a </w:t>
      </w:r>
      <w:r w:rsidR="006614AD" w:rsidRPr="00625DF1">
        <w:rPr>
          <w:sz w:val="22"/>
          <w:szCs w:val="22"/>
        </w:rPr>
        <w:t>un</w:t>
      </w:r>
      <w:r w:rsidRPr="00625DF1">
        <w:rPr>
          <w:sz w:val="22"/>
          <w:szCs w:val="22"/>
        </w:rPr>
        <w:t xml:space="preserve"> equilibrio con el nivel de oferta</w:t>
      </w:r>
      <w:r w:rsidR="006614AD" w:rsidRPr="00625DF1">
        <w:rPr>
          <w:sz w:val="22"/>
          <w:szCs w:val="22"/>
        </w:rPr>
        <w:t xml:space="preserve"> </w:t>
      </w:r>
      <w:r w:rsidR="00C87EE6" w:rsidRPr="00625DF1">
        <w:rPr>
          <w:sz w:val="22"/>
          <w:szCs w:val="22"/>
        </w:rPr>
        <w:t>para estabilizar y disminuir los niveles de inflación</w:t>
      </w:r>
      <w:r w:rsidRPr="00625DF1">
        <w:rPr>
          <w:sz w:val="22"/>
          <w:szCs w:val="22"/>
        </w:rPr>
        <w:t xml:space="preserve">. </w:t>
      </w:r>
      <w:r w:rsidR="008B1657" w:rsidRPr="00625DF1">
        <w:rPr>
          <w:sz w:val="22"/>
          <w:szCs w:val="22"/>
        </w:rPr>
        <w:t xml:space="preserve">Sin embargo, </w:t>
      </w:r>
      <w:r w:rsidR="00C87EE6" w:rsidRPr="00625DF1">
        <w:rPr>
          <w:sz w:val="22"/>
          <w:szCs w:val="22"/>
        </w:rPr>
        <w:t>dicho mecanismo también implica un encarecimiento del crédito</w:t>
      </w:r>
      <w:r w:rsidR="008B1657" w:rsidRPr="00625DF1">
        <w:rPr>
          <w:sz w:val="22"/>
          <w:szCs w:val="22"/>
        </w:rPr>
        <w:t xml:space="preserve">, </w:t>
      </w:r>
      <w:r w:rsidR="00C87EE6" w:rsidRPr="00625DF1">
        <w:rPr>
          <w:sz w:val="22"/>
          <w:szCs w:val="22"/>
        </w:rPr>
        <w:t xml:space="preserve">por lo que </w:t>
      </w:r>
      <w:r w:rsidR="008B1657" w:rsidRPr="00625DF1">
        <w:rPr>
          <w:sz w:val="22"/>
          <w:szCs w:val="22"/>
        </w:rPr>
        <w:t>también se espera una disminución de la</w:t>
      </w:r>
      <w:r w:rsidR="00C87EE6" w:rsidRPr="00625DF1">
        <w:rPr>
          <w:sz w:val="22"/>
          <w:szCs w:val="22"/>
        </w:rPr>
        <w:t xml:space="preserve"> inversión, la</w:t>
      </w:r>
      <w:r w:rsidR="008B1657" w:rsidRPr="00625DF1">
        <w:rPr>
          <w:sz w:val="22"/>
          <w:szCs w:val="22"/>
        </w:rPr>
        <w:t xml:space="preserve"> actividad empresarial</w:t>
      </w:r>
      <w:r w:rsidR="00221401" w:rsidRPr="00625DF1">
        <w:rPr>
          <w:sz w:val="22"/>
          <w:szCs w:val="22"/>
        </w:rPr>
        <w:t>, el empleo,</w:t>
      </w:r>
      <w:r w:rsidR="008B1657" w:rsidRPr="00625DF1">
        <w:rPr>
          <w:sz w:val="22"/>
          <w:szCs w:val="22"/>
        </w:rPr>
        <w:t xml:space="preserve"> y </w:t>
      </w:r>
      <w:r w:rsidR="00C87EE6" w:rsidRPr="00625DF1">
        <w:rPr>
          <w:sz w:val="22"/>
          <w:szCs w:val="22"/>
        </w:rPr>
        <w:t>la producción</w:t>
      </w:r>
      <w:r w:rsidR="008B1657" w:rsidRPr="00625DF1">
        <w:rPr>
          <w:sz w:val="22"/>
          <w:szCs w:val="22"/>
        </w:rPr>
        <w:t xml:space="preserve"> con respecto a lo previsto al inicio del año.</w:t>
      </w:r>
      <w:r w:rsidR="00B4571D" w:rsidRPr="00625DF1">
        <w:rPr>
          <w:sz w:val="22"/>
          <w:szCs w:val="22"/>
        </w:rPr>
        <w:t xml:space="preserve"> </w:t>
      </w:r>
    </w:p>
    <w:p w14:paraId="07E55975" w14:textId="77777777" w:rsidR="00642A3D" w:rsidRPr="00625DF1" w:rsidRDefault="00642A3D" w:rsidP="00B57542">
      <w:pPr>
        <w:rPr>
          <w:sz w:val="22"/>
          <w:szCs w:val="22"/>
        </w:rPr>
      </w:pPr>
    </w:p>
    <w:p w14:paraId="2ECA309B" w14:textId="3AF72BEF" w:rsidR="00C55463" w:rsidRPr="00625DF1" w:rsidRDefault="00B4571D" w:rsidP="00B57542">
      <w:pPr>
        <w:rPr>
          <w:sz w:val="22"/>
          <w:szCs w:val="22"/>
        </w:rPr>
      </w:pPr>
      <w:r w:rsidRPr="00625DF1">
        <w:rPr>
          <w:sz w:val="22"/>
          <w:szCs w:val="22"/>
        </w:rPr>
        <w:t>Como muestra</w:t>
      </w:r>
      <w:r w:rsidR="00642A3D" w:rsidRPr="00625DF1">
        <w:rPr>
          <w:sz w:val="22"/>
          <w:szCs w:val="22"/>
        </w:rPr>
        <w:t xml:space="preserve"> de lo anterior</w:t>
      </w:r>
      <w:r w:rsidRPr="00625DF1">
        <w:rPr>
          <w:sz w:val="22"/>
          <w:szCs w:val="22"/>
        </w:rPr>
        <w:t xml:space="preserve">, </w:t>
      </w:r>
      <w:r w:rsidR="008A4EA9" w:rsidRPr="00625DF1">
        <w:rPr>
          <w:sz w:val="22"/>
          <w:szCs w:val="22"/>
        </w:rPr>
        <w:t>mientras en 2020 y 2021</w:t>
      </w:r>
      <w:r w:rsidR="00C72436" w:rsidRPr="00625DF1">
        <w:rPr>
          <w:sz w:val="22"/>
          <w:szCs w:val="22"/>
        </w:rPr>
        <w:t xml:space="preserve"> </w:t>
      </w:r>
      <w:r w:rsidR="008A4EA9" w:rsidRPr="00625DF1">
        <w:rPr>
          <w:sz w:val="22"/>
          <w:szCs w:val="22"/>
        </w:rPr>
        <w:t>el Banco Central de Estados Unidos mantuvo tasas de interés igual</w:t>
      </w:r>
      <w:r w:rsidR="00C72436" w:rsidRPr="00625DF1">
        <w:rPr>
          <w:sz w:val="22"/>
          <w:szCs w:val="22"/>
        </w:rPr>
        <w:t>es</w:t>
      </w:r>
      <w:r w:rsidR="008A4EA9" w:rsidRPr="00625DF1">
        <w:rPr>
          <w:sz w:val="22"/>
          <w:szCs w:val="22"/>
        </w:rPr>
        <w:t xml:space="preserve"> o menores al 1.0</w:t>
      </w:r>
      <w:r w:rsidR="00852C08" w:rsidRPr="00625DF1">
        <w:rPr>
          <w:sz w:val="22"/>
          <w:szCs w:val="22"/>
        </w:rPr>
        <w:t xml:space="preserve"> por ciento</w:t>
      </w:r>
      <w:r w:rsidR="008A4EA9" w:rsidRPr="00625DF1">
        <w:rPr>
          <w:sz w:val="22"/>
          <w:szCs w:val="22"/>
        </w:rPr>
        <w:t xml:space="preserve">, durante 2022 ha realizado </w:t>
      </w:r>
      <w:r w:rsidR="002D4F7D" w:rsidRPr="00625DF1">
        <w:rPr>
          <w:sz w:val="22"/>
          <w:szCs w:val="22"/>
        </w:rPr>
        <w:t>seis</w:t>
      </w:r>
      <w:r w:rsidR="008A4EA9" w:rsidRPr="00625DF1">
        <w:rPr>
          <w:sz w:val="22"/>
          <w:szCs w:val="22"/>
        </w:rPr>
        <w:t xml:space="preserve"> ajustes </w:t>
      </w:r>
      <w:r w:rsidR="002D4F7D" w:rsidRPr="00625DF1">
        <w:rPr>
          <w:sz w:val="22"/>
          <w:szCs w:val="22"/>
        </w:rPr>
        <w:t xml:space="preserve">consecutivos </w:t>
      </w:r>
      <w:r w:rsidR="008A4EA9" w:rsidRPr="00625DF1">
        <w:rPr>
          <w:sz w:val="22"/>
          <w:szCs w:val="22"/>
        </w:rPr>
        <w:t xml:space="preserve">al alza para alcanzar un </w:t>
      </w:r>
      <w:r w:rsidR="002D4F7D" w:rsidRPr="00625DF1">
        <w:rPr>
          <w:sz w:val="22"/>
          <w:szCs w:val="22"/>
        </w:rPr>
        <w:t>3.75</w:t>
      </w:r>
      <w:r w:rsidR="00852C08" w:rsidRPr="00625DF1">
        <w:rPr>
          <w:sz w:val="22"/>
          <w:szCs w:val="22"/>
        </w:rPr>
        <w:t xml:space="preserve"> por ciento</w:t>
      </w:r>
      <w:r w:rsidR="008A4EA9" w:rsidRPr="00625DF1">
        <w:rPr>
          <w:sz w:val="22"/>
          <w:szCs w:val="22"/>
        </w:rPr>
        <w:t xml:space="preserve"> </w:t>
      </w:r>
      <w:r w:rsidR="002D4F7D" w:rsidRPr="00625DF1">
        <w:rPr>
          <w:sz w:val="22"/>
          <w:szCs w:val="22"/>
        </w:rPr>
        <w:t>en noviembre. Lo anterior, con</w:t>
      </w:r>
      <w:r w:rsidR="008A4EA9" w:rsidRPr="00625DF1">
        <w:rPr>
          <w:sz w:val="22"/>
          <w:szCs w:val="22"/>
        </w:rPr>
        <w:t xml:space="preserve"> el propósito de contener el constante crecimiento de la inflación iniciado desde la primera mitad de 2021, </w:t>
      </w:r>
      <w:r w:rsidR="002D4F7D" w:rsidRPr="00625DF1">
        <w:rPr>
          <w:sz w:val="22"/>
          <w:szCs w:val="22"/>
        </w:rPr>
        <w:t>la cual,</w:t>
      </w:r>
      <w:r w:rsidR="008A4EA9" w:rsidRPr="00625DF1">
        <w:rPr>
          <w:sz w:val="22"/>
          <w:szCs w:val="22"/>
        </w:rPr>
        <w:t xml:space="preserve"> en junio alcanz</w:t>
      </w:r>
      <w:r w:rsidR="00642A3D" w:rsidRPr="00625DF1">
        <w:rPr>
          <w:sz w:val="22"/>
          <w:szCs w:val="22"/>
        </w:rPr>
        <w:t>ó</w:t>
      </w:r>
      <w:r w:rsidR="008A4EA9" w:rsidRPr="00625DF1">
        <w:rPr>
          <w:sz w:val="22"/>
          <w:szCs w:val="22"/>
        </w:rPr>
        <w:t xml:space="preserve"> un nivel de 9.0</w:t>
      </w:r>
      <w:r w:rsidR="00852C08" w:rsidRPr="00625DF1">
        <w:rPr>
          <w:sz w:val="22"/>
          <w:szCs w:val="22"/>
        </w:rPr>
        <w:t xml:space="preserve"> por ciento</w:t>
      </w:r>
      <w:r w:rsidR="003D3322" w:rsidRPr="00625DF1">
        <w:rPr>
          <w:sz w:val="22"/>
          <w:szCs w:val="22"/>
        </w:rPr>
        <w:t>,</w:t>
      </w:r>
      <w:r w:rsidR="008A4EA9" w:rsidRPr="00625DF1">
        <w:rPr>
          <w:sz w:val="22"/>
          <w:szCs w:val="22"/>
        </w:rPr>
        <w:t xml:space="preserve"> no observado desde los primeros años de la década de los ochenta.</w:t>
      </w:r>
      <w:r w:rsidR="00C72436" w:rsidRPr="00625DF1">
        <w:rPr>
          <w:sz w:val="22"/>
          <w:szCs w:val="22"/>
        </w:rPr>
        <w:t xml:space="preserve"> </w:t>
      </w:r>
    </w:p>
    <w:p w14:paraId="717A1D0D" w14:textId="74B967B1" w:rsidR="00221401" w:rsidRPr="00625DF1" w:rsidRDefault="00221401" w:rsidP="00B57542">
      <w:pPr>
        <w:rPr>
          <w:sz w:val="22"/>
          <w:szCs w:val="22"/>
        </w:rPr>
      </w:pPr>
    </w:p>
    <w:p w14:paraId="07CBE7C4" w14:textId="1879C588" w:rsidR="00221401" w:rsidRPr="00625DF1" w:rsidRDefault="00851E1D" w:rsidP="00E235B1">
      <w:pPr>
        <w:spacing w:after="240"/>
        <w:rPr>
          <w:sz w:val="22"/>
          <w:szCs w:val="22"/>
        </w:rPr>
      </w:pPr>
      <w:r w:rsidRPr="00625DF1">
        <w:rPr>
          <w:sz w:val="22"/>
          <w:szCs w:val="22"/>
        </w:rPr>
        <w:t>Siendo el</w:t>
      </w:r>
      <w:r w:rsidR="00C73FC3" w:rsidRPr="00625DF1">
        <w:rPr>
          <w:sz w:val="22"/>
          <w:szCs w:val="22"/>
        </w:rPr>
        <w:t xml:space="preserve"> principal socio comercial de México, </w:t>
      </w:r>
      <w:r w:rsidR="00F04FCB" w:rsidRPr="00625DF1">
        <w:rPr>
          <w:sz w:val="22"/>
          <w:szCs w:val="22"/>
        </w:rPr>
        <w:t xml:space="preserve">la economía </w:t>
      </w:r>
      <w:r w:rsidRPr="00625DF1">
        <w:rPr>
          <w:sz w:val="22"/>
          <w:szCs w:val="22"/>
        </w:rPr>
        <w:t>de Estados Unidos</w:t>
      </w:r>
      <w:r w:rsidR="00F04FCB" w:rsidRPr="00625DF1">
        <w:rPr>
          <w:sz w:val="22"/>
          <w:szCs w:val="22"/>
        </w:rPr>
        <w:t xml:space="preserve"> </w:t>
      </w:r>
      <w:r w:rsidRPr="00625DF1">
        <w:rPr>
          <w:sz w:val="22"/>
          <w:szCs w:val="22"/>
        </w:rPr>
        <w:t>atravesó</w:t>
      </w:r>
      <w:r w:rsidR="00F04FCB" w:rsidRPr="00625DF1">
        <w:rPr>
          <w:sz w:val="22"/>
          <w:szCs w:val="22"/>
        </w:rPr>
        <w:t xml:space="preserve"> por un periodo de desaceleración</w:t>
      </w:r>
      <w:r w:rsidR="00C73FC3" w:rsidRPr="00625DF1">
        <w:rPr>
          <w:sz w:val="22"/>
          <w:szCs w:val="22"/>
        </w:rPr>
        <w:t xml:space="preserve"> </w:t>
      </w:r>
      <w:r w:rsidR="00F04FCB" w:rsidRPr="00625DF1">
        <w:rPr>
          <w:sz w:val="22"/>
          <w:szCs w:val="22"/>
        </w:rPr>
        <w:t>con tasas de crecimiento anual en su Producto Interno Bruto (PIB) de -0.4 y -0.2</w:t>
      </w:r>
      <w:r w:rsidR="00F04FCB" w:rsidRPr="00625DF1">
        <w:rPr>
          <w:rStyle w:val="Refdenotaalpie"/>
          <w:sz w:val="22"/>
          <w:szCs w:val="22"/>
        </w:rPr>
        <w:footnoteReference w:id="4"/>
      </w:r>
      <w:r w:rsidR="00F04FCB" w:rsidRPr="00625DF1">
        <w:rPr>
          <w:sz w:val="22"/>
          <w:szCs w:val="22"/>
        </w:rPr>
        <w:t xml:space="preserve"> por ciento</w:t>
      </w:r>
      <w:r w:rsidRPr="00625DF1">
        <w:rPr>
          <w:sz w:val="22"/>
          <w:szCs w:val="22"/>
        </w:rPr>
        <w:t xml:space="preserve"> en los primeros dos trimestres de 2022</w:t>
      </w:r>
      <w:r w:rsidR="00F04FCB" w:rsidRPr="00625DF1">
        <w:rPr>
          <w:sz w:val="22"/>
          <w:szCs w:val="22"/>
        </w:rPr>
        <w:t xml:space="preserve">; sin embargo, </w:t>
      </w:r>
      <w:r w:rsidRPr="00625DF1">
        <w:rPr>
          <w:sz w:val="22"/>
          <w:szCs w:val="22"/>
        </w:rPr>
        <w:t xml:space="preserve">en dicho periodo </w:t>
      </w:r>
      <w:r w:rsidR="00F04FCB" w:rsidRPr="00625DF1">
        <w:rPr>
          <w:sz w:val="22"/>
          <w:szCs w:val="22"/>
        </w:rPr>
        <w:t>se observ</w:t>
      </w:r>
      <w:r w:rsidRPr="00625DF1">
        <w:rPr>
          <w:sz w:val="22"/>
          <w:szCs w:val="22"/>
        </w:rPr>
        <w:t>ó</w:t>
      </w:r>
      <w:r w:rsidR="00F04FCB" w:rsidRPr="00625DF1">
        <w:rPr>
          <w:sz w:val="22"/>
          <w:szCs w:val="22"/>
        </w:rPr>
        <w:t xml:space="preserve"> cierta fortaleza y buen comportamiento en variables c</w:t>
      </w:r>
      <w:r w:rsidR="003D3322" w:rsidRPr="00625DF1">
        <w:rPr>
          <w:sz w:val="22"/>
          <w:szCs w:val="22"/>
        </w:rPr>
        <w:t>la</w:t>
      </w:r>
      <w:r w:rsidR="00F04FCB" w:rsidRPr="00625DF1">
        <w:rPr>
          <w:sz w:val="22"/>
          <w:szCs w:val="22"/>
        </w:rPr>
        <w:t>ve como la producción industrial, el mercado laboral y el consumo privado, que</w:t>
      </w:r>
      <w:r w:rsidR="00C73FC3" w:rsidRPr="00625DF1">
        <w:rPr>
          <w:sz w:val="22"/>
          <w:szCs w:val="22"/>
        </w:rPr>
        <w:t xml:space="preserve"> </w:t>
      </w:r>
      <w:r w:rsidRPr="00625DF1">
        <w:rPr>
          <w:sz w:val="22"/>
          <w:szCs w:val="22"/>
        </w:rPr>
        <w:t>permitieron un crecimiento</w:t>
      </w:r>
      <w:r w:rsidR="00F562EB" w:rsidRPr="00625DF1">
        <w:rPr>
          <w:sz w:val="22"/>
          <w:szCs w:val="22"/>
        </w:rPr>
        <w:t xml:space="preserve"> mínimo</w:t>
      </w:r>
      <w:r w:rsidRPr="00625DF1">
        <w:rPr>
          <w:sz w:val="22"/>
          <w:szCs w:val="22"/>
        </w:rPr>
        <w:t xml:space="preserve"> de 0.6</w:t>
      </w:r>
      <w:r w:rsidR="0027737E" w:rsidRPr="00625DF1">
        <w:rPr>
          <w:sz w:val="22"/>
          <w:szCs w:val="22"/>
        </w:rPr>
        <w:t xml:space="preserve"> por ciento</w:t>
      </w:r>
      <w:r w:rsidRPr="00625DF1">
        <w:rPr>
          <w:sz w:val="22"/>
          <w:szCs w:val="22"/>
        </w:rPr>
        <w:t xml:space="preserve"> en el tercer trimestre</w:t>
      </w:r>
      <w:r w:rsidR="00F04FCB" w:rsidRPr="00625DF1">
        <w:rPr>
          <w:sz w:val="22"/>
          <w:szCs w:val="22"/>
        </w:rPr>
        <w:t xml:space="preserve">. Por su parte, </w:t>
      </w:r>
      <w:r w:rsidR="00A103D4" w:rsidRPr="00625DF1">
        <w:rPr>
          <w:sz w:val="22"/>
          <w:szCs w:val="22"/>
        </w:rPr>
        <w:t>en los mercados internacionales,</w:t>
      </w:r>
      <w:r w:rsidR="00221401" w:rsidRPr="00625DF1">
        <w:rPr>
          <w:sz w:val="22"/>
          <w:szCs w:val="22"/>
        </w:rPr>
        <w:t xml:space="preserve"> </w:t>
      </w:r>
      <w:r w:rsidR="00700725" w:rsidRPr="00625DF1">
        <w:rPr>
          <w:sz w:val="22"/>
          <w:szCs w:val="22"/>
        </w:rPr>
        <w:t xml:space="preserve">ya se observa una disminución </w:t>
      </w:r>
      <w:r w:rsidR="00F4704A" w:rsidRPr="00625DF1">
        <w:rPr>
          <w:sz w:val="22"/>
          <w:szCs w:val="22"/>
        </w:rPr>
        <w:t>en</w:t>
      </w:r>
      <w:r w:rsidR="00700725" w:rsidRPr="00625DF1">
        <w:rPr>
          <w:sz w:val="22"/>
          <w:szCs w:val="22"/>
        </w:rPr>
        <w:t xml:space="preserve"> los precios del petróleo, </w:t>
      </w:r>
      <w:r w:rsidR="00F4704A" w:rsidRPr="00625DF1">
        <w:rPr>
          <w:sz w:val="22"/>
          <w:szCs w:val="22"/>
        </w:rPr>
        <w:t xml:space="preserve">en </w:t>
      </w:r>
      <w:r w:rsidR="00700725" w:rsidRPr="00625DF1">
        <w:rPr>
          <w:sz w:val="22"/>
          <w:szCs w:val="22"/>
        </w:rPr>
        <w:t xml:space="preserve">algunos </w:t>
      </w:r>
      <w:r w:rsidR="00F4704A" w:rsidRPr="00625DF1">
        <w:rPr>
          <w:sz w:val="22"/>
          <w:szCs w:val="22"/>
        </w:rPr>
        <w:t>alimentos como granos y cereales,</w:t>
      </w:r>
      <w:r w:rsidR="00700725" w:rsidRPr="00625DF1">
        <w:rPr>
          <w:sz w:val="22"/>
          <w:szCs w:val="22"/>
        </w:rPr>
        <w:t xml:space="preserve"> y </w:t>
      </w:r>
      <w:r w:rsidR="00F4704A" w:rsidRPr="00625DF1">
        <w:rPr>
          <w:sz w:val="22"/>
          <w:szCs w:val="22"/>
        </w:rPr>
        <w:t>en</w:t>
      </w:r>
      <w:r w:rsidR="00700725" w:rsidRPr="00625DF1">
        <w:rPr>
          <w:sz w:val="22"/>
          <w:szCs w:val="22"/>
        </w:rPr>
        <w:t xml:space="preserve"> los costos de transporte marítim</w:t>
      </w:r>
      <w:r w:rsidR="00F4704A" w:rsidRPr="00625DF1">
        <w:rPr>
          <w:sz w:val="22"/>
          <w:szCs w:val="22"/>
        </w:rPr>
        <w:t>o</w:t>
      </w:r>
      <w:r w:rsidR="00700725" w:rsidRPr="00625DF1">
        <w:rPr>
          <w:sz w:val="22"/>
          <w:szCs w:val="22"/>
        </w:rPr>
        <w:t xml:space="preserve">, </w:t>
      </w:r>
      <w:r w:rsidR="00F4704A" w:rsidRPr="00625DF1">
        <w:rPr>
          <w:sz w:val="22"/>
          <w:szCs w:val="22"/>
        </w:rPr>
        <w:t>con lo</w:t>
      </w:r>
      <w:r w:rsidR="00B80CEC" w:rsidRPr="00625DF1">
        <w:rPr>
          <w:sz w:val="22"/>
          <w:szCs w:val="22"/>
        </w:rPr>
        <w:t xml:space="preserve"> que </w:t>
      </w:r>
      <w:r w:rsidR="00F4704A" w:rsidRPr="00625DF1">
        <w:rPr>
          <w:sz w:val="22"/>
          <w:szCs w:val="22"/>
        </w:rPr>
        <w:t>se prevé</w:t>
      </w:r>
      <w:r w:rsidR="00700725" w:rsidRPr="00625DF1">
        <w:rPr>
          <w:sz w:val="22"/>
          <w:szCs w:val="22"/>
        </w:rPr>
        <w:t xml:space="preserve"> una mejora en las condiciones comerciales y el nivel de precios</w:t>
      </w:r>
      <w:r w:rsidRPr="00625DF1">
        <w:rPr>
          <w:sz w:val="22"/>
          <w:szCs w:val="22"/>
        </w:rPr>
        <w:t>. Con</w:t>
      </w:r>
      <w:r w:rsidR="00C73FC3" w:rsidRPr="00625DF1">
        <w:rPr>
          <w:sz w:val="22"/>
          <w:szCs w:val="22"/>
        </w:rPr>
        <w:t xml:space="preserve"> </w:t>
      </w:r>
      <w:r w:rsidRPr="00625DF1">
        <w:rPr>
          <w:sz w:val="22"/>
          <w:szCs w:val="22"/>
        </w:rPr>
        <w:t xml:space="preserve">lo anterior, pese a que diversos indicadores económicos a nivel global muestran una mejoría y sostenibilidad, en lo general </w:t>
      </w:r>
      <w:r w:rsidR="00700725" w:rsidRPr="00625DF1">
        <w:rPr>
          <w:sz w:val="22"/>
          <w:szCs w:val="22"/>
        </w:rPr>
        <w:t xml:space="preserve">no </w:t>
      </w:r>
      <w:r w:rsidRPr="00625DF1">
        <w:rPr>
          <w:sz w:val="22"/>
          <w:szCs w:val="22"/>
        </w:rPr>
        <w:t>es posible descartar</w:t>
      </w:r>
      <w:r w:rsidR="00700725" w:rsidRPr="00625DF1">
        <w:rPr>
          <w:sz w:val="22"/>
          <w:szCs w:val="22"/>
        </w:rPr>
        <w:t xml:space="preserve"> que continúen los episodios de volatilidad en los mercados</w:t>
      </w:r>
      <w:r w:rsidR="00F4704A" w:rsidRPr="00625DF1">
        <w:rPr>
          <w:sz w:val="22"/>
          <w:szCs w:val="22"/>
        </w:rPr>
        <w:t xml:space="preserve"> durante 2023</w:t>
      </w:r>
      <w:r w:rsidR="00700725" w:rsidRPr="00625DF1">
        <w:rPr>
          <w:sz w:val="22"/>
          <w:szCs w:val="22"/>
        </w:rPr>
        <w:t>.</w:t>
      </w:r>
    </w:p>
    <w:p w14:paraId="2257C87A" w14:textId="027C1224" w:rsidR="00DF1F43" w:rsidRPr="00625DF1" w:rsidRDefault="00DF1F43" w:rsidP="00DF1F43">
      <w:pPr>
        <w:pStyle w:val="Ttulo2"/>
        <w:spacing w:before="0"/>
        <w:rPr>
          <w:b/>
          <w:bCs/>
          <w:sz w:val="22"/>
          <w:szCs w:val="22"/>
        </w:rPr>
      </w:pPr>
      <w:r w:rsidRPr="00625DF1">
        <w:rPr>
          <w:b/>
          <w:bCs/>
          <w:sz w:val="22"/>
          <w:szCs w:val="22"/>
        </w:rPr>
        <w:t>Entorno económico nacional</w:t>
      </w:r>
    </w:p>
    <w:p w14:paraId="087DC192" w14:textId="77777777" w:rsidR="00DF1F43" w:rsidRPr="00625DF1" w:rsidRDefault="00DF1F43" w:rsidP="00074AD8">
      <w:pPr>
        <w:rPr>
          <w:sz w:val="22"/>
          <w:szCs w:val="22"/>
        </w:rPr>
      </w:pPr>
    </w:p>
    <w:p w14:paraId="7F3C2603" w14:textId="18D9FB35" w:rsidR="00A103D4" w:rsidRPr="00625DF1" w:rsidRDefault="00C22838" w:rsidP="00CB04CD">
      <w:pPr>
        <w:rPr>
          <w:sz w:val="22"/>
          <w:szCs w:val="22"/>
        </w:rPr>
      </w:pPr>
      <w:r w:rsidRPr="00625DF1">
        <w:rPr>
          <w:sz w:val="22"/>
          <w:szCs w:val="22"/>
        </w:rPr>
        <w:t xml:space="preserve">De acuerdo con las estimaciones oportunas del </w:t>
      </w:r>
      <w:r w:rsidR="00C73FC3" w:rsidRPr="00625DF1">
        <w:rPr>
          <w:sz w:val="22"/>
          <w:szCs w:val="22"/>
        </w:rPr>
        <w:t>I</w:t>
      </w:r>
      <w:r w:rsidRPr="00625DF1">
        <w:rPr>
          <w:sz w:val="22"/>
          <w:szCs w:val="22"/>
        </w:rPr>
        <w:t>NEGI, durante los primeros 9 meses de 2022 la economía mexicana</w:t>
      </w:r>
      <w:r w:rsidR="00E21D93" w:rsidRPr="00625DF1">
        <w:rPr>
          <w:sz w:val="22"/>
          <w:szCs w:val="22"/>
        </w:rPr>
        <w:t xml:space="preserve"> mostró un crecimiento anual de </w:t>
      </w:r>
      <w:r w:rsidRPr="00625DF1">
        <w:rPr>
          <w:sz w:val="22"/>
          <w:szCs w:val="22"/>
        </w:rPr>
        <w:t>2.7</w:t>
      </w:r>
      <w:r w:rsidR="00852C08" w:rsidRPr="00625DF1">
        <w:rPr>
          <w:sz w:val="22"/>
          <w:szCs w:val="22"/>
        </w:rPr>
        <w:t xml:space="preserve"> por ciento</w:t>
      </w:r>
      <w:r w:rsidR="00325840" w:rsidRPr="00625DF1">
        <w:rPr>
          <w:sz w:val="22"/>
          <w:szCs w:val="22"/>
        </w:rPr>
        <w:t>;</w:t>
      </w:r>
      <w:r w:rsidR="00E810C8" w:rsidRPr="00625DF1">
        <w:rPr>
          <w:sz w:val="22"/>
          <w:szCs w:val="22"/>
        </w:rPr>
        <w:t xml:space="preserve"> </w:t>
      </w:r>
      <w:r w:rsidR="00325840" w:rsidRPr="00625DF1">
        <w:rPr>
          <w:sz w:val="22"/>
          <w:szCs w:val="22"/>
        </w:rPr>
        <w:t>ubicándola</w:t>
      </w:r>
      <w:r w:rsidRPr="00625DF1">
        <w:rPr>
          <w:sz w:val="22"/>
          <w:szCs w:val="22"/>
        </w:rPr>
        <w:t xml:space="preserve"> de esta manera, en niveles similares a los de 2018</w:t>
      </w:r>
      <w:r w:rsidR="00325840" w:rsidRPr="00625DF1">
        <w:rPr>
          <w:sz w:val="22"/>
          <w:szCs w:val="22"/>
        </w:rPr>
        <w:t xml:space="preserve"> cuando registró su máximo histórico</w:t>
      </w:r>
      <w:r w:rsidR="00E21D93" w:rsidRPr="00625DF1">
        <w:rPr>
          <w:sz w:val="22"/>
          <w:szCs w:val="22"/>
        </w:rPr>
        <w:t>.</w:t>
      </w:r>
      <w:r w:rsidR="00A103D4" w:rsidRPr="00625DF1">
        <w:rPr>
          <w:sz w:val="22"/>
          <w:szCs w:val="22"/>
        </w:rPr>
        <w:t xml:space="preserve"> </w:t>
      </w:r>
      <w:r w:rsidR="00E810C8" w:rsidRPr="00625DF1">
        <w:rPr>
          <w:sz w:val="22"/>
          <w:szCs w:val="22"/>
        </w:rPr>
        <w:t>En particular</w:t>
      </w:r>
      <w:r w:rsidR="009041DC" w:rsidRPr="00625DF1">
        <w:rPr>
          <w:sz w:val="22"/>
          <w:szCs w:val="22"/>
        </w:rPr>
        <w:t xml:space="preserve">, </w:t>
      </w:r>
      <w:r w:rsidR="00325840" w:rsidRPr="00625DF1">
        <w:rPr>
          <w:sz w:val="22"/>
          <w:szCs w:val="22"/>
        </w:rPr>
        <w:t>dicho</w:t>
      </w:r>
      <w:r w:rsidR="00E21D93" w:rsidRPr="00625DF1">
        <w:rPr>
          <w:sz w:val="22"/>
          <w:szCs w:val="22"/>
        </w:rPr>
        <w:t xml:space="preserve"> crecimiento económico </w:t>
      </w:r>
      <w:r w:rsidR="00325840" w:rsidRPr="00625DF1">
        <w:rPr>
          <w:sz w:val="22"/>
          <w:szCs w:val="22"/>
        </w:rPr>
        <w:t xml:space="preserve">en 2022 </w:t>
      </w:r>
      <w:r w:rsidR="00E21D93" w:rsidRPr="00625DF1">
        <w:rPr>
          <w:sz w:val="22"/>
          <w:szCs w:val="22"/>
        </w:rPr>
        <w:t xml:space="preserve">fue resultado del avance de las actividades secundarias </w:t>
      </w:r>
      <w:r w:rsidR="00F04FCB" w:rsidRPr="00625DF1">
        <w:rPr>
          <w:sz w:val="22"/>
          <w:szCs w:val="22"/>
        </w:rPr>
        <w:t xml:space="preserve">(relacionadas con la minería, construcción, industrias manufactureras, generación de energía eléctrica) </w:t>
      </w:r>
      <w:r w:rsidR="00E21D93" w:rsidRPr="00625DF1">
        <w:rPr>
          <w:sz w:val="22"/>
          <w:szCs w:val="22"/>
        </w:rPr>
        <w:t>y terciarias</w:t>
      </w:r>
      <w:r w:rsidR="00F04FCB" w:rsidRPr="00625DF1">
        <w:rPr>
          <w:sz w:val="22"/>
          <w:szCs w:val="22"/>
        </w:rPr>
        <w:t xml:space="preserve"> (comercio y servicios)</w:t>
      </w:r>
      <w:r w:rsidR="00E21D93" w:rsidRPr="00625DF1">
        <w:rPr>
          <w:sz w:val="22"/>
          <w:szCs w:val="22"/>
        </w:rPr>
        <w:t>, las cuales reportaron crecimientos de 3.</w:t>
      </w:r>
      <w:r w:rsidR="00325840" w:rsidRPr="00625DF1">
        <w:rPr>
          <w:sz w:val="22"/>
          <w:szCs w:val="22"/>
        </w:rPr>
        <w:t>4</w:t>
      </w:r>
      <w:r w:rsidR="00E21D93" w:rsidRPr="00625DF1">
        <w:rPr>
          <w:sz w:val="22"/>
          <w:szCs w:val="22"/>
        </w:rPr>
        <w:t xml:space="preserve"> y </w:t>
      </w:r>
      <w:r w:rsidR="00325840" w:rsidRPr="00625DF1">
        <w:rPr>
          <w:sz w:val="22"/>
          <w:szCs w:val="22"/>
        </w:rPr>
        <w:t>2.1</w:t>
      </w:r>
      <w:r w:rsidR="00852C08" w:rsidRPr="00625DF1">
        <w:rPr>
          <w:sz w:val="22"/>
          <w:szCs w:val="22"/>
        </w:rPr>
        <w:t xml:space="preserve"> por ciento</w:t>
      </w:r>
      <w:r w:rsidR="00E21D93" w:rsidRPr="00625DF1">
        <w:rPr>
          <w:sz w:val="22"/>
          <w:szCs w:val="22"/>
        </w:rPr>
        <w:t xml:space="preserve"> respectivamente, manteniendo la inercia de recuperación con </w:t>
      </w:r>
      <w:r w:rsidR="00325840" w:rsidRPr="00625DF1">
        <w:rPr>
          <w:sz w:val="22"/>
          <w:szCs w:val="22"/>
        </w:rPr>
        <w:t>seis</w:t>
      </w:r>
      <w:r w:rsidR="00E21D93" w:rsidRPr="00625DF1">
        <w:rPr>
          <w:sz w:val="22"/>
          <w:szCs w:val="22"/>
        </w:rPr>
        <w:t xml:space="preserve"> trimestres consecutivos de expansión</w:t>
      </w:r>
      <w:r w:rsidR="00A103D4" w:rsidRPr="00625DF1">
        <w:rPr>
          <w:sz w:val="22"/>
          <w:szCs w:val="22"/>
        </w:rPr>
        <w:t xml:space="preserve">. </w:t>
      </w:r>
    </w:p>
    <w:p w14:paraId="0A8CFC70" w14:textId="77777777" w:rsidR="00CB04CD" w:rsidRPr="001F61C6" w:rsidRDefault="00CB04CD" w:rsidP="00CB04CD">
      <w:pPr>
        <w:rPr>
          <w:sz w:val="10"/>
          <w:szCs w:val="10"/>
        </w:rPr>
      </w:pPr>
    </w:p>
    <w:p w14:paraId="2AFB7B83" w14:textId="1CF0CBDE" w:rsidR="00100CFF" w:rsidRPr="00625DF1" w:rsidRDefault="00A103D4" w:rsidP="00CB04CD">
      <w:pPr>
        <w:rPr>
          <w:sz w:val="22"/>
          <w:szCs w:val="22"/>
        </w:rPr>
      </w:pPr>
      <w:r w:rsidRPr="00625DF1">
        <w:rPr>
          <w:sz w:val="22"/>
          <w:szCs w:val="22"/>
        </w:rPr>
        <w:lastRenderedPageBreak/>
        <w:t>C</w:t>
      </w:r>
      <w:r w:rsidR="009041DC" w:rsidRPr="00625DF1">
        <w:rPr>
          <w:sz w:val="22"/>
          <w:szCs w:val="22"/>
        </w:rPr>
        <w:t xml:space="preserve">omo efecto de la normalización de actividades de consumo presencial, diversos </w:t>
      </w:r>
      <w:r w:rsidR="00E810C8" w:rsidRPr="00625DF1">
        <w:rPr>
          <w:sz w:val="22"/>
          <w:szCs w:val="22"/>
        </w:rPr>
        <w:t>sectores clave por su aportación al PIB nacional como la industria manufacturera de alimentos y bebidas, el comercio, la fabricación de equipo de transporte, los servicios inmobiliarios y de alquiler, y los servicios de esparcimiento, culturales y deportivos</w:t>
      </w:r>
      <w:r w:rsidR="00100CFF" w:rsidRPr="00625DF1">
        <w:rPr>
          <w:sz w:val="22"/>
          <w:szCs w:val="22"/>
        </w:rPr>
        <w:t>,</w:t>
      </w:r>
      <w:r w:rsidR="009041DC" w:rsidRPr="00625DF1">
        <w:rPr>
          <w:sz w:val="22"/>
          <w:szCs w:val="22"/>
        </w:rPr>
        <w:t xml:space="preserve"> superaron el nivel previo a la pandemia de COVID-19, dejando a la industria de la construcción y los servicios de alojamiento y de preparación de alimentos y bebidas a</w:t>
      </w:r>
      <w:r w:rsidR="00F04FCB" w:rsidRPr="00625DF1">
        <w:rPr>
          <w:sz w:val="22"/>
          <w:szCs w:val="22"/>
        </w:rPr>
        <w:t>ú</w:t>
      </w:r>
      <w:r w:rsidR="009041DC" w:rsidRPr="00625DF1">
        <w:rPr>
          <w:sz w:val="22"/>
          <w:szCs w:val="22"/>
        </w:rPr>
        <w:t>n con un margen de recuperación.</w:t>
      </w:r>
      <w:r w:rsidR="00DF76D5" w:rsidRPr="00625DF1">
        <w:rPr>
          <w:sz w:val="22"/>
          <w:szCs w:val="22"/>
        </w:rPr>
        <w:t xml:space="preserve"> </w:t>
      </w:r>
      <w:r w:rsidR="00100CFF" w:rsidRPr="00625DF1">
        <w:rPr>
          <w:sz w:val="22"/>
          <w:szCs w:val="22"/>
        </w:rPr>
        <w:t xml:space="preserve">En lo que corresponde a las actividades primarias, </w:t>
      </w:r>
      <w:r w:rsidR="008D276C" w:rsidRPr="00625DF1">
        <w:rPr>
          <w:sz w:val="22"/>
          <w:szCs w:val="22"/>
        </w:rPr>
        <w:t xml:space="preserve">mantuvieron un crecimiento de </w:t>
      </w:r>
      <w:r w:rsidR="00325840" w:rsidRPr="00625DF1">
        <w:rPr>
          <w:sz w:val="22"/>
          <w:szCs w:val="22"/>
        </w:rPr>
        <w:t>2.2</w:t>
      </w:r>
      <w:r w:rsidR="00852C08" w:rsidRPr="00625DF1">
        <w:rPr>
          <w:sz w:val="22"/>
          <w:szCs w:val="22"/>
        </w:rPr>
        <w:t xml:space="preserve"> por ciento</w:t>
      </w:r>
      <w:r w:rsidR="008D276C" w:rsidRPr="00625DF1">
        <w:rPr>
          <w:sz w:val="22"/>
          <w:szCs w:val="22"/>
        </w:rPr>
        <w:t xml:space="preserve"> en </w:t>
      </w:r>
      <w:r w:rsidR="00100CFF" w:rsidRPr="00625DF1">
        <w:rPr>
          <w:sz w:val="22"/>
          <w:szCs w:val="22"/>
        </w:rPr>
        <w:t xml:space="preserve">el primer semestre de 2022 </w:t>
      </w:r>
      <w:r w:rsidR="008D276C" w:rsidRPr="00625DF1">
        <w:rPr>
          <w:sz w:val="22"/>
          <w:szCs w:val="22"/>
        </w:rPr>
        <w:t>a pesar de</w:t>
      </w:r>
      <w:r w:rsidR="00100CFF" w:rsidRPr="00625DF1">
        <w:rPr>
          <w:sz w:val="22"/>
          <w:szCs w:val="22"/>
        </w:rPr>
        <w:t>l periodo de sequ</w:t>
      </w:r>
      <w:r w:rsidR="00FC2D5B" w:rsidRPr="00625DF1">
        <w:rPr>
          <w:sz w:val="22"/>
          <w:szCs w:val="22"/>
        </w:rPr>
        <w:t>í</w:t>
      </w:r>
      <w:r w:rsidR="00100CFF" w:rsidRPr="00625DF1">
        <w:rPr>
          <w:sz w:val="22"/>
          <w:szCs w:val="22"/>
        </w:rPr>
        <w:t xml:space="preserve">as que </w:t>
      </w:r>
      <w:r w:rsidR="008D276C" w:rsidRPr="00625DF1">
        <w:rPr>
          <w:sz w:val="22"/>
          <w:szCs w:val="22"/>
        </w:rPr>
        <w:t>afectó</w:t>
      </w:r>
      <w:r w:rsidR="00100CFF" w:rsidRPr="00625DF1">
        <w:rPr>
          <w:sz w:val="22"/>
          <w:szCs w:val="22"/>
        </w:rPr>
        <w:t xml:space="preserve"> </w:t>
      </w:r>
      <w:r w:rsidR="008D276C" w:rsidRPr="00625DF1">
        <w:rPr>
          <w:sz w:val="22"/>
          <w:szCs w:val="22"/>
        </w:rPr>
        <w:t>el</w:t>
      </w:r>
      <w:r w:rsidR="00100CFF" w:rsidRPr="00625DF1">
        <w:rPr>
          <w:sz w:val="22"/>
          <w:szCs w:val="22"/>
        </w:rPr>
        <w:t xml:space="preserve"> norte del país</w:t>
      </w:r>
      <w:r w:rsidR="008D276C" w:rsidRPr="00625DF1">
        <w:rPr>
          <w:sz w:val="22"/>
          <w:szCs w:val="22"/>
        </w:rPr>
        <w:t>.</w:t>
      </w:r>
      <w:r w:rsidR="00DF76D5" w:rsidRPr="00625DF1">
        <w:rPr>
          <w:sz w:val="22"/>
          <w:szCs w:val="22"/>
        </w:rPr>
        <w:t xml:space="preserve"> </w:t>
      </w:r>
    </w:p>
    <w:p w14:paraId="38A14B4A" w14:textId="77777777" w:rsidR="00CB04CD" w:rsidRPr="001F61C6" w:rsidRDefault="00CB04CD" w:rsidP="00CB04CD">
      <w:pPr>
        <w:rPr>
          <w:sz w:val="18"/>
          <w:szCs w:val="18"/>
        </w:rPr>
      </w:pPr>
    </w:p>
    <w:p w14:paraId="45331D2C" w14:textId="1ED2283B" w:rsidR="00100CFF" w:rsidRPr="00625DF1" w:rsidRDefault="00DF76D5" w:rsidP="00CB04CD">
      <w:pPr>
        <w:rPr>
          <w:sz w:val="22"/>
          <w:szCs w:val="22"/>
        </w:rPr>
      </w:pPr>
      <w:r w:rsidRPr="00625DF1">
        <w:rPr>
          <w:sz w:val="22"/>
          <w:szCs w:val="22"/>
        </w:rPr>
        <w:t>Por otra parte</w:t>
      </w:r>
      <w:r w:rsidR="00100CFF" w:rsidRPr="00625DF1">
        <w:rPr>
          <w:sz w:val="22"/>
          <w:szCs w:val="22"/>
        </w:rPr>
        <w:t xml:space="preserve">, </w:t>
      </w:r>
      <w:r w:rsidR="00D419C6" w:rsidRPr="00625DF1">
        <w:rPr>
          <w:sz w:val="22"/>
          <w:szCs w:val="22"/>
        </w:rPr>
        <w:t xml:space="preserve">es posible observar el efecto positivo de la normalización de actividades de consumo presencial a través de la recuperación de </w:t>
      </w:r>
      <w:r w:rsidR="00100CFF" w:rsidRPr="00625DF1">
        <w:rPr>
          <w:sz w:val="22"/>
          <w:szCs w:val="22"/>
        </w:rPr>
        <w:t>la demanda agregada</w:t>
      </w:r>
      <w:r w:rsidR="00D419C6" w:rsidRPr="00625DF1">
        <w:rPr>
          <w:sz w:val="22"/>
          <w:szCs w:val="22"/>
        </w:rPr>
        <w:t>, la cual</w:t>
      </w:r>
      <w:r w:rsidR="00100CFF" w:rsidRPr="00625DF1">
        <w:rPr>
          <w:sz w:val="22"/>
          <w:szCs w:val="22"/>
        </w:rPr>
        <w:t xml:space="preserve"> </w:t>
      </w:r>
      <w:r w:rsidRPr="00625DF1">
        <w:rPr>
          <w:sz w:val="22"/>
          <w:szCs w:val="22"/>
        </w:rPr>
        <w:t xml:space="preserve">se ha visto fortalecida por </w:t>
      </w:r>
      <w:r w:rsidR="00D419C6" w:rsidRPr="00625DF1">
        <w:rPr>
          <w:sz w:val="22"/>
          <w:szCs w:val="22"/>
        </w:rPr>
        <w:t>el dinamismo en el sector externo, el</w:t>
      </w:r>
      <w:r w:rsidRPr="00625DF1">
        <w:rPr>
          <w:sz w:val="22"/>
          <w:szCs w:val="22"/>
        </w:rPr>
        <w:t xml:space="preserve"> consumo privado </w:t>
      </w:r>
      <w:r w:rsidR="00D419C6" w:rsidRPr="00625DF1">
        <w:rPr>
          <w:sz w:val="22"/>
          <w:szCs w:val="22"/>
        </w:rPr>
        <w:t>y la</w:t>
      </w:r>
      <w:r w:rsidRPr="00625DF1">
        <w:rPr>
          <w:sz w:val="22"/>
          <w:szCs w:val="22"/>
        </w:rPr>
        <w:t xml:space="preserve"> inversión fija bruta, </w:t>
      </w:r>
      <w:r w:rsidR="00D419C6" w:rsidRPr="00625DF1">
        <w:rPr>
          <w:sz w:val="22"/>
          <w:szCs w:val="22"/>
        </w:rPr>
        <w:t>que</w:t>
      </w:r>
      <w:r w:rsidRPr="00625DF1">
        <w:rPr>
          <w:sz w:val="22"/>
          <w:szCs w:val="22"/>
        </w:rPr>
        <w:t xml:space="preserve"> de igual forma han superado su nivel pre-pandemia.</w:t>
      </w:r>
    </w:p>
    <w:p w14:paraId="7F5E2ACF" w14:textId="77777777" w:rsidR="00CB04CD" w:rsidRPr="001F61C6" w:rsidRDefault="00CB04CD" w:rsidP="00CB04CD">
      <w:pPr>
        <w:rPr>
          <w:sz w:val="18"/>
          <w:szCs w:val="18"/>
        </w:rPr>
      </w:pPr>
    </w:p>
    <w:p w14:paraId="1CE452EE" w14:textId="3AEC7952" w:rsidR="00E54E31" w:rsidRPr="00625DF1" w:rsidRDefault="00D419C6" w:rsidP="00CB04CD">
      <w:pPr>
        <w:rPr>
          <w:sz w:val="22"/>
          <w:szCs w:val="22"/>
        </w:rPr>
      </w:pPr>
      <w:r w:rsidRPr="00625DF1">
        <w:rPr>
          <w:sz w:val="22"/>
          <w:szCs w:val="22"/>
        </w:rPr>
        <w:t>En lo que corresponde al</w:t>
      </w:r>
      <w:r w:rsidR="00DF76D5" w:rsidRPr="00625DF1">
        <w:rPr>
          <w:sz w:val="22"/>
          <w:szCs w:val="22"/>
        </w:rPr>
        <w:t xml:space="preserve"> mercado laboral</w:t>
      </w:r>
      <w:r w:rsidR="00C1279C" w:rsidRPr="00625DF1">
        <w:rPr>
          <w:sz w:val="22"/>
          <w:szCs w:val="22"/>
        </w:rPr>
        <w:t xml:space="preserve"> nacional</w:t>
      </w:r>
      <w:r w:rsidR="001C4020" w:rsidRPr="00625DF1">
        <w:rPr>
          <w:sz w:val="22"/>
          <w:szCs w:val="22"/>
        </w:rPr>
        <w:t>,</w:t>
      </w:r>
      <w:r w:rsidR="00AC2A37" w:rsidRPr="00625DF1">
        <w:rPr>
          <w:sz w:val="22"/>
          <w:szCs w:val="22"/>
        </w:rPr>
        <w:t xml:space="preserve"> </w:t>
      </w:r>
      <w:r w:rsidR="001C4020" w:rsidRPr="00625DF1">
        <w:rPr>
          <w:sz w:val="22"/>
          <w:szCs w:val="22"/>
        </w:rPr>
        <w:t>se ha mantenido</w:t>
      </w:r>
      <w:r w:rsidR="00C65590" w:rsidRPr="00625DF1">
        <w:rPr>
          <w:sz w:val="22"/>
          <w:szCs w:val="22"/>
        </w:rPr>
        <w:t xml:space="preserve"> el desempeño positivo mostrado </w:t>
      </w:r>
      <w:r w:rsidR="00B079A0" w:rsidRPr="00625DF1">
        <w:rPr>
          <w:sz w:val="22"/>
          <w:szCs w:val="22"/>
        </w:rPr>
        <w:t>desde</w:t>
      </w:r>
      <w:r w:rsidR="00C65590" w:rsidRPr="00625DF1">
        <w:rPr>
          <w:sz w:val="22"/>
          <w:szCs w:val="22"/>
        </w:rPr>
        <w:t xml:space="preserve"> 2021 cuando se recuperó la pérdida de poco más de 10 millones de personas ocupadas. </w:t>
      </w:r>
      <w:r w:rsidR="001C4020" w:rsidRPr="00625DF1">
        <w:rPr>
          <w:sz w:val="22"/>
          <w:szCs w:val="22"/>
        </w:rPr>
        <w:t xml:space="preserve">Al </w:t>
      </w:r>
      <w:r w:rsidR="00F0078D" w:rsidRPr="00625DF1">
        <w:rPr>
          <w:sz w:val="22"/>
          <w:szCs w:val="22"/>
        </w:rPr>
        <w:t>mes de septiembre de</w:t>
      </w:r>
      <w:r w:rsidR="001C4020" w:rsidRPr="00625DF1">
        <w:rPr>
          <w:sz w:val="22"/>
          <w:szCs w:val="22"/>
        </w:rPr>
        <w:t xml:space="preserve"> 2022, en su comparativa</w:t>
      </w:r>
      <w:r w:rsidR="00B079A0" w:rsidRPr="00625DF1">
        <w:rPr>
          <w:sz w:val="22"/>
          <w:szCs w:val="22"/>
        </w:rPr>
        <w:t xml:space="preserve"> con</w:t>
      </w:r>
      <w:r w:rsidR="00E54E31" w:rsidRPr="00625DF1">
        <w:rPr>
          <w:sz w:val="22"/>
          <w:szCs w:val="22"/>
        </w:rPr>
        <w:t xml:space="preserve"> los niveles pre-pandemia</w:t>
      </w:r>
      <w:r w:rsidR="001C4020" w:rsidRPr="00625DF1">
        <w:rPr>
          <w:sz w:val="22"/>
          <w:szCs w:val="22"/>
        </w:rPr>
        <w:t>,</w:t>
      </w:r>
      <w:r w:rsidR="00E54E31" w:rsidRPr="00625DF1">
        <w:rPr>
          <w:sz w:val="22"/>
          <w:szCs w:val="22"/>
        </w:rPr>
        <w:t xml:space="preserve"> </w:t>
      </w:r>
      <w:r w:rsidR="00F0078D" w:rsidRPr="00625DF1">
        <w:rPr>
          <w:sz w:val="22"/>
          <w:szCs w:val="22"/>
        </w:rPr>
        <w:t xml:space="preserve">el número de personas ocupadas </w:t>
      </w:r>
      <w:r w:rsidR="002E153B" w:rsidRPr="00625DF1">
        <w:rPr>
          <w:sz w:val="22"/>
          <w:szCs w:val="22"/>
        </w:rPr>
        <w:t>se incrementó</w:t>
      </w:r>
      <w:r w:rsidR="001C4020" w:rsidRPr="00625DF1">
        <w:rPr>
          <w:sz w:val="22"/>
          <w:szCs w:val="22"/>
        </w:rPr>
        <w:t xml:space="preserve"> en</w:t>
      </w:r>
      <w:r w:rsidR="00E54E31" w:rsidRPr="00625DF1">
        <w:rPr>
          <w:sz w:val="22"/>
          <w:szCs w:val="22"/>
        </w:rPr>
        <w:t xml:space="preserve"> 2.</w:t>
      </w:r>
      <w:r w:rsidR="00F0078D" w:rsidRPr="00625DF1">
        <w:rPr>
          <w:sz w:val="22"/>
          <w:szCs w:val="22"/>
        </w:rPr>
        <w:t>0</w:t>
      </w:r>
      <w:r w:rsidR="00E54E31" w:rsidRPr="00625DF1">
        <w:rPr>
          <w:sz w:val="22"/>
          <w:szCs w:val="22"/>
        </w:rPr>
        <w:t>3 millones</w:t>
      </w:r>
      <w:r w:rsidR="006015F8" w:rsidRPr="00625DF1">
        <w:rPr>
          <w:sz w:val="22"/>
          <w:szCs w:val="22"/>
        </w:rPr>
        <w:t>;</w:t>
      </w:r>
      <w:r w:rsidR="00E54E31" w:rsidRPr="00625DF1">
        <w:rPr>
          <w:sz w:val="22"/>
          <w:szCs w:val="22"/>
        </w:rPr>
        <w:t xml:space="preserve"> </w:t>
      </w:r>
      <w:r w:rsidR="001C4020" w:rsidRPr="00625DF1">
        <w:rPr>
          <w:sz w:val="22"/>
          <w:szCs w:val="22"/>
        </w:rPr>
        <w:t xml:space="preserve">si bien al interior dicha recuperación se observa en todos los sectores, incluyendo a aquellos servicios intensivos de manera presencial, </w:t>
      </w:r>
      <w:r w:rsidR="00E54E31" w:rsidRPr="00625DF1">
        <w:rPr>
          <w:sz w:val="22"/>
          <w:szCs w:val="22"/>
        </w:rPr>
        <w:t>resulta necesari</w:t>
      </w:r>
      <w:r w:rsidR="001C4020" w:rsidRPr="00625DF1">
        <w:rPr>
          <w:sz w:val="22"/>
          <w:szCs w:val="22"/>
        </w:rPr>
        <w:t>o</w:t>
      </w:r>
      <w:r w:rsidR="00E54E31" w:rsidRPr="00625DF1">
        <w:rPr>
          <w:sz w:val="22"/>
          <w:szCs w:val="22"/>
        </w:rPr>
        <w:t xml:space="preserve"> un mayor avance en la generación de empleos</w:t>
      </w:r>
      <w:r w:rsidR="00F0078D" w:rsidRPr="00625DF1">
        <w:rPr>
          <w:sz w:val="22"/>
          <w:szCs w:val="22"/>
        </w:rPr>
        <w:t xml:space="preserve"> mejor remunerados</w:t>
      </w:r>
      <w:r w:rsidR="006015F8" w:rsidRPr="00625DF1">
        <w:rPr>
          <w:sz w:val="22"/>
          <w:szCs w:val="22"/>
        </w:rPr>
        <w:t xml:space="preserve"> toda vez que únicamente el 15.6 por ciento de los trabajadores mantiene un nivel de ingreso superior a los 2 salarios mínimos</w:t>
      </w:r>
      <w:r w:rsidR="00F66041" w:rsidRPr="00625DF1">
        <w:rPr>
          <w:sz w:val="22"/>
          <w:szCs w:val="22"/>
        </w:rPr>
        <w:t>.</w:t>
      </w:r>
    </w:p>
    <w:p w14:paraId="5D3C5E03" w14:textId="77777777" w:rsidR="00CB04CD" w:rsidRPr="001F61C6" w:rsidRDefault="00CB04CD" w:rsidP="00CB04CD">
      <w:pPr>
        <w:rPr>
          <w:sz w:val="18"/>
          <w:szCs w:val="18"/>
        </w:rPr>
      </w:pPr>
    </w:p>
    <w:p w14:paraId="717420BF" w14:textId="23552F72" w:rsidR="00F66041" w:rsidRPr="00625DF1" w:rsidRDefault="003B0F98" w:rsidP="00CB04CD">
      <w:pPr>
        <w:rPr>
          <w:sz w:val="22"/>
          <w:szCs w:val="22"/>
        </w:rPr>
      </w:pPr>
      <w:r w:rsidRPr="00625DF1">
        <w:rPr>
          <w:sz w:val="22"/>
          <w:szCs w:val="22"/>
        </w:rPr>
        <w:t xml:space="preserve">Ahora bien, </w:t>
      </w:r>
      <w:r w:rsidR="00D825FD" w:rsidRPr="00625DF1">
        <w:rPr>
          <w:sz w:val="22"/>
          <w:szCs w:val="22"/>
        </w:rPr>
        <w:t>en lo que corresponde a</w:t>
      </w:r>
      <w:r w:rsidRPr="00625DF1">
        <w:rPr>
          <w:sz w:val="22"/>
          <w:szCs w:val="22"/>
        </w:rPr>
        <w:t xml:space="preserve">l sector </w:t>
      </w:r>
      <w:r w:rsidR="00D825FD" w:rsidRPr="00625DF1">
        <w:rPr>
          <w:sz w:val="22"/>
          <w:szCs w:val="22"/>
        </w:rPr>
        <w:t xml:space="preserve">laboral </w:t>
      </w:r>
      <w:r w:rsidRPr="00625DF1">
        <w:rPr>
          <w:sz w:val="22"/>
          <w:szCs w:val="22"/>
        </w:rPr>
        <w:t xml:space="preserve">formal </w:t>
      </w:r>
      <w:r w:rsidR="006015F8" w:rsidRPr="00625DF1">
        <w:rPr>
          <w:sz w:val="22"/>
          <w:szCs w:val="22"/>
        </w:rPr>
        <w:t xml:space="preserve">registrado en el IMSS </w:t>
      </w:r>
      <w:r w:rsidRPr="00625DF1">
        <w:rPr>
          <w:sz w:val="22"/>
          <w:szCs w:val="22"/>
        </w:rPr>
        <w:t xml:space="preserve">que concentra cerca de </w:t>
      </w:r>
      <w:r w:rsidR="00F91FC8" w:rsidRPr="00625DF1">
        <w:rPr>
          <w:sz w:val="22"/>
          <w:szCs w:val="22"/>
        </w:rPr>
        <w:t>4</w:t>
      </w:r>
      <w:r w:rsidRPr="00625DF1">
        <w:rPr>
          <w:sz w:val="22"/>
          <w:szCs w:val="22"/>
        </w:rPr>
        <w:t xml:space="preserve"> de cada 10 personas ocupadas</w:t>
      </w:r>
      <w:r w:rsidR="00205F87" w:rsidRPr="00625DF1">
        <w:rPr>
          <w:sz w:val="22"/>
          <w:szCs w:val="22"/>
        </w:rPr>
        <w:t xml:space="preserve">, </w:t>
      </w:r>
      <w:r w:rsidR="00B93BB6" w:rsidRPr="00625DF1">
        <w:rPr>
          <w:sz w:val="22"/>
          <w:szCs w:val="22"/>
        </w:rPr>
        <w:t>de enero a octubre</w:t>
      </w:r>
      <w:r w:rsidR="001818B0" w:rsidRPr="00625DF1">
        <w:rPr>
          <w:sz w:val="22"/>
          <w:szCs w:val="22"/>
        </w:rPr>
        <w:t xml:space="preserve"> de 2022 se han </w:t>
      </w:r>
      <w:r w:rsidR="00B93BB6" w:rsidRPr="00625DF1">
        <w:rPr>
          <w:sz w:val="22"/>
          <w:szCs w:val="22"/>
        </w:rPr>
        <w:t>creado</w:t>
      </w:r>
      <w:r w:rsidR="001818B0" w:rsidRPr="00625DF1">
        <w:rPr>
          <w:sz w:val="22"/>
          <w:szCs w:val="22"/>
        </w:rPr>
        <w:t xml:space="preserve"> </w:t>
      </w:r>
      <w:r w:rsidR="00B93BB6" w:rsidRPr="00625DF1">
        <w:rPr>
          <w:sz w:val="22"/>
          <w:szCs w:val="22"/>
        </w:rPr>
        <w:t>997</w:t>
      </w:r>
      <w:r w:rsidR="001818B0" w:rsidRPr="00625DF1">
        <w:rPr>
          <w:sz w:val="22"/>
          <w:szCs w:val="22"/>
        </w:rPr>
        <w:t xml:space="preserve"> mil empleos </w:t>
      </w:r>
      <w:r w:rsidR="002D48EB" w:rsidRPr="00625DF1">
        <w:rPr>
          <w:sz w:val="22"/>
          <w:szCs w:val="22"/>
        </w:rPr>
        <w:t xml:space="preserve">para alcanzar un </w:t>
      </w:r>
      <w:r w:rsidR="0000328E" w:rsidRPr="00625DF1">
        <w:rPr>
          <w:sz w:val="22"/>
          <w:szCs w:val="22"/>
        </w:rPr>
        <w:t>máximo</w:t>
      </w:r>
      <w:r w:rsidR="002D48EB" w:rsidRPr="00625DF1">
        <w:rPr>
          <w:sz w:val="22"/>
          <w:szCs w:val="22"/>
        </w:rPr>
        <w:t xml:space="preserve"> histórico de 21.</w:t>
      </w:r>
      <w:r w:rsidR="00D825FD" w:rsidRPr="00625DF1">
        <w:rPr>
          <w:sz w:val="22"/>
          <w:szCs w:val="22"/>
        </w:rPr>
        <w:t>6</w:t>
      </w:r>
      <w:r w:rsidR="002D48EB" w:rsidRPr="00625DF1">
        <w:rPr>
          <w:sz w:val="22"/>
          <w:szCs w:val="22"/>
        </w:rPr>
        <w:t xml:space="preserve"> millones</w:t>
      </w:r>
      <w:r w:rsidR="00D825FD" w:rsidRPr="00625DF1">
        <w:rPr>
          <w:sz w:val="22"/>
          <w:szCs w:val="22"/>
        </w:rPr>
        <w:t>;</w:t>
      </w:r>
      <w:r w:rsidR="001818B0" w:rsidRPr="00625DF1">
        <w:rPr>
          <w:sz w:val="22"/>
          <w:szCs w:val="22"/>
        </w:rPr>
        <w:t xml:space="preserve"> lo cual, sin considerar el comportamiento atípico </w:t>
      </w:r>
      <w:r w:rsidR="002D48EB" w:rsidRPr="00625DF1">
        <w:rPr>
          <w:sz w:val="22"/>
          <w:szCs w:val="22"/>
        </w:rPr>
        <w:t xml:space="preserve">en la pandemia, significa </w:t>
      </w:r>
      <w:r w:rsidR="0027737E" w:rsidRPr="00625DF1">
        <w:rPr>
          <w:sz w:val="22"/>
          <w:szCs w:val="22"/>
        </w:rPr>
        <w:t>el</w:t>
      </w:r>
      <w:r w:rsidR="002D48EB" w:rsidRPr="00625DF1">
        <w:rPr>
          <w:sz w:val="22"/>
          <w:szCs w:val="22"/>
        </w:rPr>
        <w:t xml:space="preserve"> segundo año con mayor generación de empleo para dicho periodo desde que se tiene registro solo superado por lo observado en 2017 con </w:t>
      </w:r>
      <w:r w:rsidR="00D825FD" w:rsidRPr="00625DF1">
        <w:rPr>
          <w:sz w:val="22"/>
          <w:szCs w:val="22"/>
        </w:rPr>
        <w:t>1</w:t>
      </w:r>
      <w:r w:rsidR="002D48EB" w:rsidRPr="00625DF1">
        <w:rPr>
          <w:sz w:val="22"/>
          <w:szCs w:val="22"/>
        </w:rPr>
        <w:t xml:space="preserve"> </w:t>
      </w:r>
      <w:r w:rsidR="00D825FD" w:rsidRPr="00625DF1">
        <w:rPr>
          <w:sz w:val="22"/>
          <w:szCs w:val="22"/>
        </w:rPr>
        <w:t>millón de</w:t>
      </w:r>
      <w:r w:rsidR="002D48EB" w:rsidRPr="00625DF1">
        <w:rPr>
          <w:sz w:val="22"/>
          <w:szCs w:val="22"/>
        </w:rPr>
        <w:t xml:space="preserve"> empleos.</w:t>
      </w:r>
      <w:r w:rsidR="009D234E" w:rsidRPr="00625DF1">
        <w:rPr>
          <w:sz w:val="22"/>
          <w:szCs w:val="22"/>
        </w:rPr>
        <w:t xml:space="preserve"> </w:t>
      </w:r>
      <w:r w:rsidR="00D825FD" w:rsidRPr="00625DF1">
        <w:rPr>
          <w:sz w:val="22"/>
          <w:szCs w:val="22"/>
        </w:rPr>
        <w:t>Asimismo, e</w:t>
      </w:r>
      <w:r w:rsidR="006015F8" w:rsidRPr="00625DF1">
        <w:rPr>
          <w:sz w:val="22"/>
          <w:szCs w:val="22"/>
        </w:rPr>
        <w:t>n lo que va de 2022, los empleos formales</w:t>
      </w:r>
      <w:r w:rsidR="007B69BB" w:rsidRPr="00625DF1">
        <w:rPr>
          <w:sz w:val="22"/>
          <w:szCs w:val="22"/>
        </w:rPr>
        <w:t xml:space="preserve"> se ha</w:t>
      </w:r>
      <w:r w:rsidR="006015F8" w:rsidRPr="00625DF1">
        <w:rPr>
          <w:sz w:val="22"/>
          <w:szCs w:val="22"/>
        </w:rPr>
        <w:t>n</w:t>
      </w:r>
      <w:r w:rsidR="007B69BB" w:rsidRPr="00625DF1">
        <w:rPr>
          <w:sz w:val="22"/>
          <w:szCs w:val="22"/>
        </w:rPr>
        <w:t xml:space="preserve"> visto favorecido</w:t>
      </w:r>
      <w:r w:rsidR="006015F8" w:rsidRPr="00625DF1">
        <w:rPr>
          <w:sz w:val="22"/>
          <w:szCs w:val="22"/>
        </w:rPr>
        <w:t>s</w:t>
      </w:r>
      <w:r w:rsidR="007B69BB" w:rsidRPr="00625DF1">
        <w:rPr>
          <w:sz w:val="22"/>
          <w:szCs w:val="22"/>
        </w:rPr>
        <w:t xml:space="preserve"> por el crecimiento promedio </w:t>
      </w:r>
      <w:r w:rsidR="00D825FD" w:rsidRPr="00625DF1">
        <w:rPr>
          <w:sz w:val="22"/>
          <w:szCs w:val="22"/>
        </w:rPr>
        <w:t xml:space="preserve">anual nominal </w:t>
      </w:r>
      <w:r w:rsidR="0027737E" w:rsidRPr="00625DF1">
        <w:rPr>
          <w:sz w:val="22"/>
          <w:szCs w:val="22"/>
        </w:rPr>
        <w:t xml:space="preserve">del salario </w:t>
      </w:r>
      <w:r w:rsidR="00D825FD" w:rsidRPr="00625DF1">
        <w:rPr>
          <w:sz w:val="22"/>
          <w:szCs w:val="22"/>
        </w:rPr>
        <w:t xml:space="preserve">de 11.1 </w:t>
      </w:r>
      <w:r w:rsidR="00852C08" w:rsidRPr="00625DF1">
        <w:rPr>
          <w:sz w:val="22"/>
          <w:szCs w:val="22"/>
        </w:rPr>
        <w:t>por ciento</w:t>
      </w:r>
      <w:r w:rsidR="00D825FD" w:rsidRPr="00625DF1">
        <w:rPr>
          <w:sz w:val="22"/>
          <w:szCs w:val="22"/>
        </w:rPr>
        <w:t xml:space="preserve"> al mes de octubre</w:t>
      </w:r>
      <w:r w:rsidR="00B844ED" w:rsidRPr="00625DF1">
        <w:rPr>
          <w:sz w:val="22"/>
          <w:szCs w:val="22"/>
        </w:rPr>
        <w:t xml:space="preserve">, </w:t>
      </w:r>
      <w:r w:rsidR="00D825FD" w:rsidRPr="00625DF1">
        <w:rPr>
          <w:sz w:val="22"/>
          <w:szCs w:val="22"/>
        </w:rPr>
        <w:t>el más alto registrado de los últimos veinte años en el periodo referido</w:t>
      </w:r>
      <w:r w:rsidR="007B69BB" w:rsidRPr="00625DF1">
        <w:rPr>
          <w:sz w:val="22"/>
          <w:szCs w:val="22"/>
        </w:rPr>
        <w:t>.</w:t>
      </w:r>
    </w:p>
    <w:p w14:paraId="50104685" w14:textId="77777777" w:rsidR="00CB04CD" w:rsidRPr="001F61C6" w:rsidRDefault="00CB04CD" w:rsidP="00CB04CD">
      <w:pPr>
        <w:rPr>
          <w:sz w:val="18"/>
          <w:szCs w:val="18"/>
        </w:rPr>
      </w:pPr>
    </w:p>
    <w:p w14:paraId="06837806" w14:textId="20412878" w:rsidR="008C43B4" w:rsidRPr="00625DF1" w:rsidRDefault="00FC2D5B" w:rsidP="00CB04CD">
      <w:pPr>
        <w:rPr>
          <w:sz w:val="22"/>
          <w:szCs w:val="22"/>
        </w:rPr>
      </w:pPr>
      <w:r w:rsidRPr="00625DF1">
        <w:rPr>
          <w:sz w:val="22"/>
          <w:szCs w:val="22"/>
        </w:rPr>
        <w:t>L</w:t>
      </w:r>
      <w:r w:rsidR="0000328E" w:rsidRPr="00625DF1">
        <w:rPr>
          <w:sz w:val="22"/>
          <w:szCs w:val="22"/>
        </w:rPr>
        <w:t xml:space="preserve">as cifras anteriores reflejan el desempeño positivo de los principales </w:t>
      </w:r>
      <w:r w:rsidR="00FC2E4C" w:rsidRPr="00625DF1">
        <w:rPr>
          <w:sz w:val="22"/>
          <w:szCs w:val="22"/>
        </w:rPr>
        <w:t>indicadores macroeconómicos</w:t>
      </w:r>
      <w:r w:rsidR="0000328E" w:rsidRPr="00625DF1">
        <w:rPr>
          <w:sz w:val="22"/>
          <w:szCs w:val="22"/>
        </w:rPr>
        <w:t xml:space="preserve"> observados en México durante 2022</w:t>
      </w:r>
      <w:r w:rsidR="008D0DDB" w:rsidRPr="00625DF1">
        <w:rPr>
          <w:sz w:val="22"/>
          <w:szCs w:val="22"/>
        </w:rPr>
        <w:t>;</w:t>
      </w:r>
      <w:r w:rsidR="0000328E" w:rsidRPr="00625DF1">
        <w:rPr>
          <w:sz w:val="22"/>
          <w:szCs w:val="22"/>
        </w:rPr>
        <w:t xml:space="preserve"> sin embargo, como se mencionó anteriormente, México también se ha </w:t>
      </w:r>
      <w:r w:rsidR="00FC2E4C" w:rsidRPr="00625DF1">
        <w:rPr>
          <w:sz w:val="22"/>
          <w:szCs w:val="22"/>
        </w:rPr>
        <w:t xml:space="preserve">visto </w:t>
      </w:r>
      <w:r w:rsidR="0000328E" w:rsidRPr="00625DF1">
        <w:rPr>
          <w:sz w:val="22"/>
          <w:szCs w:val="22"/>
        </w:rPr>
        <w:t xml:space="preserve">afectado por la tendencia </w:t>
      </w:r>
      <w:r w:rsidR="00FC2E4C" w:rsidRPr="00625DF1">
        <w:rPr>
          <w:sz w:val="22"/>
          <w:szCs w:val="22"/>
        </w:rPr>
        <w:t>global del alza persistente de la inflación</w:t>
      </w:r>
      <w:r w:rsidR="00F14688" w:rsidRPr="00625DF1">
        <w:rPr>
          <w:sz w:val="22"/>
          <w:szCs w:val="22"/>
        </w:rPr>
        <w:t xml:space="preserve"> que inició</w:t>
      </w:r>
      <w:r w:rsidR="00FC2E4C" w:rsidRPr="00625DF1">
        <w:rPr>
          <w:sz w:val="22"/>
          <w:szCs w:val="22"/>
        </w:rPr>
        <w:t xml:space="preserve"> desde 2021. </w:t>
      </w:r>
      <w:r w:rsidR="009D234E" w:rsidRPr="00625DF1">
        <w:rPr>
          <w:sz w:val="22"/>
          <w:szCs w:val="22"/>
        </w:rPr>
        <w:t xml:space="preserve">De acuerdo con lo observado en los primeros </w:t>
      </w:r>
      <w:r w:rsidR="00F13B4C" w:rsidRPr="00625DF1">
        <w:rPr>
          <w:sz w:val="22"/>
          <w:szCs w:val="22"/>
        </w:rPr>
        <w:t>10</w:t>
      </w:r>
      <w:r w:rsidR="009D234E" w:rsidRPr="00625DF1">
        <w:rPr>
          <w:sz w:val="22"/>
          <w:szCs w:val="22"/>
        </w:rPr>
        <w:t xml:space="preserve"> meses del año</w:t>
      </w:r>
      <w:r w:rsidR="00FC2E4C" w:rsidRPr="00625DF1">
        <w:rPr>
          <w:sz w:val="22"/>
          <w:szCs w:val="22"/>
        </w:rPr>
        <w:t>, la variación interanual del Índice Nacional de Precios al Consumidor (INPC) se ubicó en 8.</w:t>
      </w:r>
      <w:r w:rsidR="00F13B4C" w:rsidRPr="00625DF1">
        <w:rPr>
          <w:sz w:val="22"/>
          <w:szCs w:val="22"/>
        </w:rPr>
        <w:t>41</w:t>
      </w:r>
      <w:r w:rsidR="00852C08" w:rsidRPr="00625DF1">
        <w:rPr>
          <w:sz w:val="22"/>
          <w:szCs w:val="22"/>
        </w:rPr>
        <w:t xml:space="preserve"> por ciento</w:t>
      </w:r>
      <w:r w:rsidR="00FC2E4C" w:rsidRPr="00625DF1">
        <w:rPr>
          <w:sz w:val="22"/>
          <w:szCs w:val="22"/>
        </w:rPr>
        <w:t xml:space="preserve">, su mayor nivel desde enero de </w:t>
      </w:r>
      <w:r w:rsidR="009D234E" w:rsidRPr="00625DF1">
        <w:rPr>
          <w:sz w:val="22"/>
          <w:szCs w:val="22"/>
        </w:rPr>
        <w:t>2001</w:t>
      </w:r>
      <w:r w:rsidR="00FC2E4C" w:rsidRPr="00625DF1">
        <w:rPr>
          <w:sz w:val="22"/>
          <w:szCs w:val="22"/>
        </w:rPr>
        <w:t xml:space="preserve"> y sumando </w:t>
      </w:r>
      <w:r w:rsidR="009D234E" w:rsidRPr="00625DF1">
        <w:rPr>
          <w:sz w:val="22"/>
          <w:szCs w:val="22"/>
        </w:rPr>
        <w:t>con ello</w:t>
      </w:r>
      <w:r w:rsidR="00FC2E4C" w:rsidRPr="00625DF1">
        <w:rPr>
          <w:sz w:val="22"/>
          <w:szCs w:val="22"/>
        </w:rPr>
        <w:t xml:space="preserve"> </w:t>
      </w:r>
      <w:r w:rsidR="00F13B4C" w:rsidRPr="00625DF1">
        <w:rPr>
          <w:sz w:val="22"/>
          <w:szCs w:val="22"/>
        </w:rPr>
        <w:t>20</w:t>
      </w:r>
      <w:r w:rsidR="00FC2E4C" w:rsidRPr="00625DF1">
        <w:rPr>
          <w:sz w:val="22"/>
          <w:szCs w:val="22"/>
        </w:rPr>
        <w:t xml:space="preserve"> meses consecutivos por arriba de la meta de inflación del Banco de México</w:t>
      </w:r>
      <w:r w:rsidR="00F04FCB" w:rsidRPr="00625DF1">
        <w:rPr>
          <w:sz w:val="22"/>
          <w:szCs w:val="22"/>
        </w:rPr>
        <w:t xml:space="preserve"> (3</w:t>
      </w:r>
      <w:r w:rsidR="008D0DDB" w:rsidRPr="00625DF1">
        <w:rPr>
          <w:sz w:val="22"/>
          <w:szCs w:val="22"/>
        </w:rPr>
        <w:t xml:space="preserve"> por ciento</w:t>
      </w:r>
      <w:r w:rsidR="00F04FCB" w:rsidRPr="00625DF1">
        <w:rPr>
          <w:sz w:val="22"/>
          <w:szCs w:val="22"/>
        </w:rPr>
        <w:t xml:space="preserve"> </w:t>
      </w:r>
      <w:r w:rsidR="00807A49" w:rsidRPr="00625DF1">
        <w:rPr>
          <w:sz w:val="22"/>
          <w:szCs w:val="22"/>
        </w:rPr>
        <w:t>considerando un rango de variación mayor o menor en 1 punto porcentual</w:t>
      </w:r>
      <w:r w:rsidR="00F04FCB" w:rsidRPr="00625DF1">
        <w:rPr>
          <w:sz w:val="22"/>
          <w:szCs w:val="22"/>
        </w:rPr>
        <w:t>)</w:t>
      </w:r>
      <w:r w:rsidR="00FC2E4C" w:rsidRPr="00625DF1">
        <w:rPr>
          <w:sz w:val="22"/>
          <w:szCs w:val="22"/>
        </w:rPr>
        <w:t xml:space="preserve">. </w:t>
      </w:r>
    </w:p>
    <w:p w14:paraId="6FEC5982" w14:textId="77777777" w:rsidR="00CB04CD" w:rsidRPr="00625DF1" w:rsidRDefault="00CB04CD" w:rsidP="00CB04CD">
      <w:pPr>
        <w:rPr>
          <w:sz w:val="22"/>
          <w:szCs w:val="22"/>
        </w:rPr>
      </w:pPr>
    </w:p>
    <w:p w14:paraId="6D0C6A5E" w14:textId="5932C8C9" w:rsidR="00F14688" w:rsidRPr="00625DF1" w:rsidRDefault="00F14688" w:rsidP="00CB04CD">
      <w:pPr>
        <w:rPr>
          <w:sz w:val="22"/>
          <w:szCs w:val="22"/>
        </w:rPr>
      </w:pPr>
      <w:r w:rsidRPr="00625DF1">
        <w:rPr>
          <w:sz w:val="22"/>
          <w:szCs w:val="22"/>
        </w:rPr>
        <w:t xml:space="preserve">No obstante, a diferencia de periodos pasados de alta inflación, el fenómeno inflacionario reciente en México se ha relacionado </w:t>
      </w:r>
      <w:r w:rsidR="008C43B4" w:rsidRPr="00625DF1">
        <w:rPr>
          <w:sz w:val="22"/>
          <w:szCs w:val="22"/>
        </w:rPr>
        <w:t xml:space="preserve">principalmente </w:t>
      </w:r>
      <w:r w:rsidRPr="00625DF1">
        <w:rPr>
          <w:sz w:val="22"/>
          <w:szCs w:val="22"/>
        </w:rPr>
        <w:t>con un aumento en el costo</w:t>
      </w:r>
      <w:r w:rsidR="0096635B" w:rsidRPr="00625DF1">
        <w:rPr>
          <w:sz w:val="22"/>
          <w:szCs w:val="22"/>
        </w:rPr>
        <w:t xml:space="preserve"> de</w:t>
      </w:r>
      <w:r w:rsidRPr="00625DF1">
        <w:rPr>
          <w:sz w:val="22"/>
          <w:szCs w:val="22"/>
        </w:rPr>
        <w:t xml:space="preserve"> bienes básicos </w:t>
      </w:r>
      <w:r w:rsidR="008C43B4" w:rsidRPr="00625DF1">
        <w:rPr>
          <w:sz w:val="22"/>
          <w:szCs w:val="22"/>
        </w:rPr>
        <w:t>no sustituibles como los alimentos</w:t>
      </w:r>
      <w:r w:rsidRPr="00625DF1">
        <w:rPr>
          <w:sz w:val="22"/>
          <w:szCs w:val="22"/>
        </w:rPr>
        <w:t>, siendo que la Canasta de Consumo Mínimo</w:t>
      </w:r>
      <w:r w:rsidRPr="00625DF1">
        <w:rPr>
          <w:rStyle w:val="Refdenotaalpie"/>
          <w:sz w:val="22"/>
          <w:szCs w:val="22"/>
        </w:rPr>
        <w:footnoteReference w:id="5"/>
      </w:r>
      <w:r w:rsidRPr="00625DF1">
        <w:rPr>
          <w:sz w:val="22"/>
          <w:szCs w:val="22"/>
        </w:rPr>
        <w:t xml:space="preserve"> ha </w:t>
      </w:r>
      <w:r w:rsidR="00F04FCB" w:rsidRPr="00625DF1">
        <w:rPr>
          <w:sz w:val="22"/>
          <w:szCs w:val="22"/>
        </w:rPr>
        <w:t>presentado</w:t>
      </w:r>
      <w:r w:rsidRPr="00625DF1">
        <w:rPr>
          <w:sz w:val="22"/>
          <w:szCs w:val="22"/>
        </w:rPr>
        <w:t xml:space="preserve"> un incremento mayor al Índice </w:t>
      </w:r>
      <w:r w:rsidR="004D110A" w:rsidRPr="00625DF1">
        <w:rPr>
          <w:sz w:val="22"/>
          <w:szCs w:val="22"/>
        </w:rPr>
        <w:t>G</w:t>
      </w:r>
      <w:r w:rsidRPr="00625DF1">
        <w:rPr>
          <w:sz w:val="22"/>
          <w:szCs w:val="22"/>
        </w:rPr>
        <w:t xml:space="preserve">eneral al situarse en </w:t>
      </w:r>
      <w:r w:rsidR="00F13B4C" w:rsidRPr="00625DF1">
        <w:rPr>
          <w:sz w:val="22"/>
          <w:szCs w:val="22"/>
        </w:rPr>
        <w:t>9.1</w:t>
      </w:r>
      <w:r w:rsidR="00852C08" w:rsidRPr="00625DF1">
        <w:rPr>
          <w:sz w:val="22"/>
          <w:szCs w:val="22"/>
        </w:rPr>
        <w:t xml:space="preserve"> por ciento</w:t>
      </w:r>
      <w:r w:rsidRPr="00625DF1">
        <w:rPr>
          <w:sz w:val="22"/>
          <w:szCs w:val="22"/>
        </w:rPr>
        <w:t>.</w:t>
      </w:r>
      <w:r w:rsidR="009D234E" w:rsidRPr="00625DF1">
        <w:rPr>
          <w:sz w:val="22"/>
          <w:szCs w:val="22"/>
        </w:rPr>
        <w:t xml:space="preserve"> </w:t>
      </w:r>
    </w:p>
    <w:p w14:paraId="0C4DAAE7" w14:textId="77777777" w:rsidR="00CB04CD" w:rsidRPr="00625DF1" w:rsidRDefault="00CB04CD" w:rsidP="00CB04CD">
      <w:pPr>
        <w:rPr>
          <w:sz w:val="22"/>
          <w:szCs w:val="22"/>
        </w:rPr>
      </w:pPr>
    </w:p>
    <w:p w14:paraId="216BCE8E" w14:textId="3F65EDFE" w:rsidR="008C43B4" w:rsidRPr="00625DF1" w:rsidRDefault="008C43B4" w:rsidP="00CB04CD">
      <w:pPr>
        <w:rPr>
          <w:sz w:val="22"/>
          <w:szCs w:val="22"/>
        </w:rPr>
      </w:pPr>
      <w:r w:rsidRPr="00625DF1">
        <w:rPr>
          <w:sz w:val="22"/>
          <w:szCs w:val="22"/>
        </w:rPr>
        <w:t xml:space="preserve">En este sentido, </w:t>
      </w:r>
      <w:r w:rsidR="00D14408" w:rsidRPr="00625DF1">
        <w:rPr>
          <w:sz w:val="22"/>
          <w:szCs w:val="22"/>
        </w:rPr>
        <w:t>el Consejo Nacional de Evaluación de la Política de Desarrollo Social</w:t>
      </w:r>
      <w:r w:rsidR="00F04FCB" w:rsidRPr="00625DF1">
        <w:rPr>
          <w:sz w:val="22"/>
          <w:szCs w:val="22"/>
        </w:rPr>
        <w:t xml:space="preserve"> (CONEVAL)</w:t>
      </w:r>
      <w:r w:rsidR="00D14408" w:rsidRPr="00625DF1">
        <w:rPr>
          <w:sz w:val="22"/>
          <w:szCs w:val="22"/>
        </w:rPr>
        <w:t xml:space="preserve"> estima que el porcentaje de población con ingreso laboral inferior al costo de la canasta alimentaria se incrementó de 36 a 46 por ciento como efecto de la pandemia, y a pesar de mantener una posterior tendencia a la baja</w:t>
      </w:r>
      <w:r w:rsidR="00772EBE" w:rsidRPr="00625DF1">
        <w:rPr>
          <w:sz w:val="22"/>
          <w:szCs w:val="22"/>
        </w:rPr>
        <w:t xml:space="preserve"> en la medida que el mercado laboral se ha recuperado y los salarios se han incrementado</w:t>
      </w:r>
      <w:r w:rsidR="00D14408" w:rsidRPr="00625DF1">
        <w:rPr>
          <w:sz w:val="22"/>
          <w:szCs w:val="22"/>
        </w:rPr>
        <w:t>, al segundo trimestre de 2022 a</w:t>
      </w:r>
      <w:r w:rsidR="00F04FCB" w:rsidRPr="00625DF1">
        <w:rPr>
          <w:sz w:val="22"/>
          <w:szCs w:val="22"/>
        </w:rPr>
        <w:t>ú</w:t>
      </w:r>
      <w:r w:rsidR="00D14408" w:rsidRPr="00625DF1">
        <w:rPr>
          <w:sz w:val="22"/>
          <w:szCs w:val="22"/>
        </w:rPr>
        <w:t xml:space="preserve">n se encuentra en niveles superiores a los de </w:t>
      </w:r>
      <w:r w:rsidR="00772EBE" w:rsidRPr="00625DF1">
        <w:rPr>
          <w:sz w:val="22"/>
          <w:szCs w:val="22"/>
        </w:rPr>
        <w:t xml:space="preserve">pre-pandemia (38.3 por ciento). </w:t>
      </w:r>
    </w:p>
    <w:p w14:paraId="5789B2F5" w14:textId="77777777" w:rsidR="00CB04CD" w:rsidRPr="00625DF1" w:rsidRDefault="00CB04CD" w:rsidP="00CB04CD">
      <w:pPr>
        <w:rPr>
          <w:sz w:val="22"/>
          <w:szCs w:val="22"/>
        </w:rPr>
      </w:pPr>
    </w:p>
    <w:p w14:paraId="0322E617" w14:textId="70658E45" w:rsidR="008C43B4" w:rsidRPr="00625DF1" w:rsidRDefault="00FC2D5B" w:rsidP="00CB04CD">
      <w:pPr>
        <w:rPr>
          <w:sz w:val="22"/>
          <w:szCs w:val="22"/>
        </w:rPr>
      </w:pPr>
      <w:r w:rsidRPr="00625DF1">
        <w:rPr>
          <w:sz w:val="22"/>
          <w:szCs w:val="22"/>
        </w:rPr>
        <w:t>E</w:t>
      </w:r>
      <w:r w:rsidR="00772EBE" w:rsidRPr="00625DF1">
        <w:rPr>
          <w:sz w:val="22"/>
          <w:szCs w:val="22"/>
        </w:rPr>
        <w:t xml:space="preserve">s importante resaltar </w:t>
      </w:r>
      <w:r w:rsidR="008C43B4" w:rsidRPr="00625DF1">
        <w:rPr>
          <w:sz w:val="22"/>
          <w:szCs w:val="22"/>
        </w:rPr>
        <w:t>que en los hogares de menores ingresos</w:t>
      </w:r>
      <w:r w:rsidR="000D616D" w:rsidRPr="00625DF1">
        <w:rPr>
          <w:sz w:val="22"/>
          <w:szCs w:val="22"/>
        </w:rPr>
        <w:t xml:space="preserve"> </w:t>
      </w:r>
      <w:r w:rsidR="008C43B4" w:rsidRPr="00625DF1">
        <w:rPr>
          <w:sz w:val="22"/>
          <w:szCs w:val="22"/>
        </w:rPr>
        <w:t xml:space="preserve">el peso de los alimentos </w:t>
      </w:r>
      <w:r w:rsidR="00A72EAE" w:rsidRPr="00625DF1">
        <w:rPr>
          <w:sz w:val="22"/>
          <w:szCs w:val="22"/>
        </w:rPr>
        <w:t xml:space="preserve">básicos </w:t>
      </w:r>
      <w:r w:rsidR="008C43B4" w:rsidRPr="00625DF1">
        <w:rPr>
          <w:sz w:val="22"/>
          <w:szCs w:val="22"/>
        </w:rPr>
        <w:t>es aún mayor (50 por ciento en comparación con el 28 por ciento para los hogares de mayor ingreso</w:t>
      </w:r>
      <w:r w:rsidR="008C43B4" w:rsidRPr="00625DF1">
        <w:rPr>
          <w:rStyle w:val="Refdenotaalpie"/>
          <w:sz w:val="22"/>
          <w:szCs w:val="22"/>
        </w:rPr>
        <w:footnoteReference w:id="6"/>
      </w:r>
      <w:r w:rsidR="008C43B4" w:rsidRPr="00625DF1">
        <w:rPr>
          <w:sz w:val="22"/>
          <w:szCs w:val="22"/>
        </w:rPr>
        <w:t>)</w:t>
      </w:r>
      <w:r w:rsidR="00B80CEC" w:rsidRPr="00625DF1">
        <w:rPr>
          <w:sz w:val="22"/>
          <w:szCs w:val="22"/>
        </w:rPr>
        <w:t xml:space="preserve"> </w:t>
      </w:r>
      <w:r w:rsidR="008C43B4" w:rsidRPr="00625DF1">
        <w:rPr>
          <w:sz w:val="22"/>
          <w:szCs w:val="22"/>
        </w:rPr>
        <w:t xml:space="preserve">de tal manera que el contexto inflacionario actual </w:t>
      </w:r>
      <w:r w:rsidR="00A72EAE" w:rsidRPr="00625DF1">
        <w:rPr>
          <w:sz w:val="22"/>
          <w:szCs w:val="22"/>
        </w:rPr>
        <w:t>afecta en mayor medida a los hogares económicamente más vulnerables e incide en el incremento de los niveles de pobreza.</w:t>
      </w:r>
    </w:p>
    <w:p w14:paraId="091DE1C2" w14:textId="77777777" w:rsidR="00CB04CD" w:rsidRPr="00625DF1" w:rsidRDefault="00CB04CD" w:rsidP="00CB04CD">
      <w:pPr>
        <w:rPr>
          <w:sz w:val="22"/>
          <w:szCs w:val="22"/>
        </w:rPr>
      </w:pPr>
    </w:p>
    <w:p w14:paraId="70343C58" w14:textId="4959FDDA" w:rsidR="009D0AF7" w:rsidRPr="00625DF1" w:rsidRDefault="00FC2D5B" w:rsidP="00CB04CD">
      <w:pPr>
        <w:rPr>
          <w:sz w:val="22"/>
          <w:szCs w:val="22"/>
        </w:rPr>
      </w:pPr>
      <w:r w:rsidRPr="00625DF1">
        <w:rPr>
          <w:sz w:val="22"/>
          <w:szCs w:val="22"/>
        </w:rPr>
        <w:t>P</w:t>
      </w:r>
      <w:r w:rsidR="00A000F0" w:rsidRPr="00625DF1">
        <w:rPr>
          <w:sz w:val="22"/>
          <w:szCs w:val="22"/>
        </w:rPr>
        <w:t xml:space="preserve">ara cumplir con el mandato constitucional de mantener una inflación baja y preservar un ambiente de estabilidad de precios como condición necesaria para lograr reducciones sostenidas en la pobreza, </w:t>
      </w:r>
      <w:r w:rsidR="00881D5A" w:rsidRPr="00625DF1">
        <w:rPr>
          <w:sz w:val="22"/>
          <w:szCs w:val="22"/>
        </w:rPr>
        <w:t>de</w:t>
      </w:r>
      <w:r w:rsidR="009D0AF7" w:rsidRPr="00625DF1">
        <w:rPr>
          <w:sz w:val="22"/>
          <w:szCs w:val="22"/>
        </w:rPr>
        <w:t xml:space="preserve"> </w:t>
      </w:r>
      <w:r w:rsidR="00EF541C" w:rsidRPr="00625DF1">
        <w:rPr>
          <w:sz w:val="22"/>
          <w:szCs w:val="22"/>
        </w:rPr>
        <w:t>junio</w:t>
      </w:r>
      <w:r w:rsidR="009D0AF7" w:rsidRPr="00625DF1">
        <w:rPr>
          <w:sz w:val="22"/>
          <w:szCs w:val="22"/>
        </w:rPr>
        <w:t xml:space="preserve"> de 2021</w:t>
      </w:r>
      <w:r w:rsidR="00881D5A" w:rsidRPr="00625DF1">
        <w:rPr>
          <w:sz w:val="22"/>
          <w:szCs w:val="22"/>
        </w:rPr>
        <w:t xml:space="preserve"> a noviembre de 2022</w:t>
      </w:r>
      <w:r w:rsidR="009D0AF7" w:rsidRPr="00625DF1">
        <w:rPr>
          <w:sz w:val="22"/>
          <w:szCs w:val="22"/>
        </w:rPr>
        <w:t xml:space="preserve"> </w:t>
      </w:r>
      <w:r w:rsidR="00A000F0" w:rsidRPr="00625DF1">
        <w:rPr>
          <w:sz w:val="22"/>
          <w:szCs w:val="22"/>
        </w:rPr>
        <w:t>el Banco de México</w:t>
      </w:r>
      <w:r w:rsidR="00772EBE" w:rsidRPr="00625DF1">
        <w:rPr>
          <w:sz w:val="22"/>
          <w:szCs w:val="22"/>
        </w:rPr>
        <w:t xml:space="preserve"> ha </w:t>
      </w:r>
      <w:r w:rsidR="00EF541C" w:rsidRPr="00625DF1">
        <w:rPr>
          <w:sz w:val="22"/>
          <w:szCs w:val="22"/>
        </w:rPr>
        <w:t>incrementado la</w:t>
      </w:r>
      <w:r w:rsidR="00772EBE" w:rsidRPr="00625DF1">
        <w:rPr>
          <w:sz w:val="22"/>
          <w:szCs w:val="22"/>
        </w:rPr>
        <w:t xml:space="preserve"> tasa de interés </w:t>
      </w:r>
      <w:r w:rsidR="00F04FCB" w:rsidRPr="00625DF1">
        <w:rPr>
          <w:sz w:val="22"/>
          <w:szCs w:val="22"/>
        </w:rPr>
        <w:t xml:space="preserve">en </w:t>
      </w:r>
      <w:r w:rsidR="00881D5A" w:rsidRPr="00625DF1">
        <w:rPr>
          <w:sz w:val="22"/>
          <w:szCs w:val="22"/>
        </w:rPr>
        <w:t>doce</w:t>
      </w:r>
      <w:r w:rsidR="00F04FCB" w:rsidRPr="00625DF1">
        <w:rPr>
          <w:sz w:val="22"/>
          <w:szCs w:val="22"/>
        </w:rPr>
        <w:t xml:space="preserve"> ocasiones</w:t>
      </w:r>
      <w:r w:rsidR="009D0AF7" w:rsidRPr="00625DF1">
        <w:rPr>
          <w:sz w:val="22"/>
          <w:szCs w:val="22"/>
        </w:rPr>
        <w:t xml:space="preserve"> pasando de 4.0 a </w:t>
      </w:r>
      <w:r w:rsidR="00881D5A" w:rsidRPr="00625DF1">
        <w:rPr>
          <w:sz w:val="22"/>
          <w:szCs w:val="22"/>
        </w:rPr>
        <w:t>10.0</w:t>
      </w:r>
      <w:r w:rsidR="009D0AF7" w:rsidRPr="00625DF1">
        <w:rPr>
          <w:sz w:val="22"/>
          <w:szCs w:val="22"/>
        </w:rPr>
        <w:t xml:space="preserve"> por ciento, alcanzando así </w:t>
      </w:r>
      <w:r w:rsidR="00F9201D" w:rsidRPr="00625DF1">
        <w:rPr>
          <w:sz w:val="22"/>
          <w:szCs w:val="22"/>
        </w:rPr>
        <w:t xml:space="preserve">tasas no observadas </w:t>
      </w:r>
      <w:r w:rsidR="00FF4697" w:rsidRPr="00625DF1">
        <w:rPr>
          <w:sz w:val="22"/>
          <w:szCs w:val="22"/>
        </w:rPr>
        <w:t>desde 2008</w:t>
      </w:r>
      <w:r w:rsidR="009D0AF7" w:rsidRPr="00625DF1">
        <w:rPr>
          <w:sz w:val="22"/>
          <w:szCs w:val="22"/>
        </w:rPr>
        <w:t xml:space="preserve"> y</w:t>
      </w:r>
      <w:r w:rsidR="00B80CEC" w:rsidRPr="00625DF1">
        <w:rPr>
          <w:sz w:val="22"/>
          <w:szCs w:val="22"/>
        </w:rPr>
        <w:t xml:space="preserve"> </w:t>
      </w:r>
      <w:r w:rsidR="009D0AF7" w:rsidRPr="00625DF1">
        <w:rPr>
          <w:sz w:val="22"/>
          <w:szCs w:val="22"/>
        </w:rPr>
        <w:t xml:space="preserve">estimando que con ello las presiones inflacionarias alcancen su máximo nivel en el último trimestre de 2022 para posteriormente iniciar su retorno </w:t>
      </w:r>
      <w:r w:rsidR="008815B5" w:rsidRPr="00625DF1">
        <w:rPr>
          <w:sz w:val="22"/>
          <w:szCs w:val="22"/>
        </w:rPr>
        <w:t>al objetivo</w:t>
      </w:r>
      <w:r w:rsidR="009D0AF7" w:rsidRPr="00625DF1">
        <w:rPr>
          <w:sz w:val="22"/>
          <w:szCs w:val="22"/>
        </w:rPr>
        <w:t xml:space="preserve"> de inflación</w:t>
      </w:r>
      <w:r w:rsidR="008815B5" w:rsidRPr="00625DF1">
        <w:rPr>
          <w:sz w:val="22"/>
          <w:szCs w:val="22"/>
        </w:rPr>
        <w:t xml:space="preserve"> hacia finales de 2023</w:t>
      </w:r>
      <w:r w:rsidR="00C83DB6" w:rsidRPr="00625DF1">
        <w:rPr>
          <w:rStyle w:val="Refdenotaalpie"/>
          <w:sz w:val="22"/>
          <w:szCs w:val="22"/>
        </w:rPr>
        <w:footnoteReference w:id="7"/>
      </w:r>
      <w:r w:rsidR="009D0AF7" w:rsidRPr="00625DF1">
        <w:rPr>
          <w:sz w:val="22"/>
          <w:szCs w:val="22"/>
        </w:rPr>
        <w:t xml:space="preserve">. </w:t>
      </w:r>
    </w:p>
    <w:p w14:paraId="4143126D" w14:textId="77777777" w:rsidR="00CB04CD" w:rsidRPr="00625DF1" w:rsidRDefault="00CB04CD" w:rsidP="00CB04CD">
      <w:pPr>
        <w:rPr>
          <w:sz w:val="22"/>
          <w:szCs w:val="22"/>
        </w:rPr>
      </w:pPr>
    </w:p>
    <w:p w14:paraId="3DD26A52" w14:textId="3AB9D352" w:rsidR="00022CE8" w:rsidRPr="00625DF1" w:rsidRDefault="009D0AF7" w:rsidP="00CB04CD">
      <w:pPr>
        <w:rPr>
          <w:sz w:val="22"/>
          <w:szCs w:val="22"/>
        </w:rPr>
      </w:pPr>
      <w:r w:rsidRPr="00625DF1">
        <w:rPr>
          <w:sz w:val="22"/>
          <w:szCs w:val="22"/>
        </w:rPr>
        <w:t xml:space="preserve">Como se mencionó anteriormente, </w:t>
      </w:r>
      <w:r w:rsidR="00B17344" w:rsidRPr="00625DF1">
        <w:rPr>
          <w:sz w:val="22"/>
          <w:szCs w:val="22"/>
        </w:rPr>
        <w:t xml:space="preserve">dentro de las implicaciones que una economía puede observar por motivo del incremento en sus tasas de interés se encuentra la disminución del crecimiento por </w:t>
      </w:r>
      <w:r w:rsidR="00D011E5" w:rsidRPr="00625DF1">
        <w:rPr>
          <w:sz w:val="22"/>
          <w:szCs w:val="22"/>
        </w:rPr>
        <w:t>la</w:t>
      </w:r>
      <w:r w:rsidR="00B17344" w:rsidRPr="00625DF1">
        <w:rPr>
          <w:sz w:val="22"/>
          <w:szCs w:val="22"/>
        </w:rPr>
        <w:t xml:space="preserve"> contención del consumo y la demanda. En este sentido, </w:t>
      </w:r>
      <w:r w:rsidR="00022CE8" w:rsidRPr="00625DF1">
        <w:rPr>
          <w:sz w:val="22"/>
          <w:szCs w:val="22"/>
        </w:rPr>
        <w:t>a lo largo de 2022 las</w:t>
      </w:r>
      <w:r w:rsidR="00B17344" w:rsidRPr="00625DF1">
        <w:rPr>
          <w:sz w:val="22"/>
          <w:szCs w:val="22"/>
        </w:rPr>
        <w:t xml:space="preserve"> estimaciones de crecimiento del PIB para México</w:t>
      </w:r>
      <w:r w:rsidR="00022CE8" w:rsidRPr="00625DF1">
        <w:rPr>
          <w:sz w:val="22"/>
          <w:szCs w:val="22"/>
        </w:rPr>
        <w:t xml:space="preserve"> publicadas por diversas instituciones tanto nacionales e internacionales como</w:t>
      </w:r>
      <w:r w:rsidR="000D616D" w:rsidRPr="00625DF1">
        <w:rPr>
          <w:sz w:val="22"/>
          <w:szCs w:val="22"/>
        </w:rPr>
        <w:t xml:space="preserve"> </w:t>
      </w:r>
      <w:r w:rsidR="00022CE8" w:rsidRPr="00625DF1">
        <w:rPr>
          <w:sz w:val="22"/>
          <w:szCs w:val="22"/>
        </w:rPr>
        <w:t>públicas y privadas, se han reducido pasando de 3.0 a 2.0 por ciento para el cierre de 2022 y de 2.4 a 1.3 para 2023</w:t>
      </w:r>
      <w:r w:rsidR="0017289F" w:rsidRPr="00625DF1">
        <w:rPr>
          <w:sz w:val="22"/>
          <w:szCs w:val="22"/>
        </w:rPr>
        <w:t>, situando a la economía mexicana por debajo del crecimiento esperado para América Latina y el Caribe (3.2 y 1.4 por ciento respectivamente para 2022 y 2023).</w:t>
      </w:r>
    </w:p>
    <w:p w14:paraId="662C8AB5" w14:textId="027DDB49" w:rsidR="00B17344" w:rsidRPr="00625DF1" w:rsidRDefault="00512318" w:rsidP="00F165D4">
      <w:pPr>
        <w:spacing w:before="240"/>
        <w:jc w:val="center"/>
        <w:rPr>
          <w:rFonts w:eastAsia="Calibri" w:cs="Times New Roman"/>
          <w:bCs/>
          <w:sz w:val="22"/>
          <w:szCs w:val="22"/>
        </w:rPr>
      </w:pPr>
      <w:r>
        <w:rPr>
          <w:rFonts w:eastAsia="Calibri" w:cs="Times New Roman"/>
          <w:bCs/>
          <w:sz w:val="22"/>
          <w:szCs w:val="22"/>
        </w:rPr>
        <w:lastRenderedPageBreak/>
        <w:br/>
      </w:r>
      <w:r w:rsidR="00B17344" w:rsidRPr="00625DF1">
        <w:rPr>
          <w:rFonts w:eastAsia="Calibri" w:cs="Times New Roman"/>
          <w:bCs/>
          <w:sz w:val="22"/>
          <w:szCs w:val="22"/>
        </w:rPr>
        <w:t>Previsiones de crecimiento económico para México, cierre 2022 y 2023</w:t>
      </w:r>
    </w:p>
    <w:p w14:paraId="55D21F7D" w14:textId="72EB33C3" w:rsidR="00B17344" w:rsidRPr="00625DF1" w:rsidRDefault="00B17344" w:rsidP="00B17344">
      <w:pPr>
        <w:jc w:val="center"/>
        <w:rPr>
          <w:rFonts w:eastAsia="Calibri" w:cs="Times New Roman"/>
          <w:i/>
          <w:sz w:val="22"/>
          <w:szCs w:val="22"/>
        </w:rPr>
      </w:pPr>
      <w:r w:rsidRPr="00625DF1">
        <w:rPr>
          <w:rFonts w:eastAsia="Calibri" w:cs="Times New Roman"/>
          <w:i/>
          <w:sz w:val="22"/>
          <w:szCs w:val="22"/>
        </w:rPr>
        <w:t>(Incremento real anual del PIB</w:t>
      </w:r>
      <w:r w:rsidR="00403C60" w:rsidRPr="00625DF1">
        <w:rPr>
          <w:rFonts w:eastAsia="Calibri" w:cs="Times New Roman"/>
          <w:i/>
          <w:sz w:val="22"/>
          <w:szCs w:val="22"/>
        </w:rPr>
        <w:t>,</w:t>
      </w:r>
      <w:r w:rsidRPr="00625DF1">
        <w:rPr>
          <w:rFonts w:eastAsia="Calibri" w:cs="Times New Roman"/>
          <w:i/>
          <w:sz w:val="22"/>
          <w:szCs w:val="22"/>
        </w:rPr>
        <w:t xml:space="preserve"> </w:t>
      </w:r>
      <w:r w:rsidR="00311EB4" w:rsidRPr="00625DF1">
        <w:rPr>
          <w:rFonts w:eastAsia="Calibri" w:cs="Times New Roman"/>
          <w:i/>
          <w:sz w:val="22"/>
          <w:szCs w:val="22"/>
        </w:rPr>
        <w:t>por ciento</w:t>
      </w:r>
      <w:r w:rsidRPr="00625DF1">
        <w:rPr>
          <w:rFonts w:eastAsia="Calibri" w:cs="Times New Roman"/>
          <w:i/>
          <w:sz w:val="22"/>
          <w:szCs w:val="22"/>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6157"/>
        <w:gridCol w:w="1411"/>
        <w:gridCol w:w="1410"/>
      </w:tblGrid>
      <w:tr w:rsidR="00066CB5" w:rsidRPr="00625DF1" w14:paraId="0FC9C019" w14:textId="77777777" w:rsidTr="00B7427D">
        <w:trPr>
          <w:trHeight w:val="300"/>
        </w:trPr>
        <w:tc>
          <w:tcPr>
            <w:tcW w:w="3429" w:type="pct"/>
            <w:vMerge w:val="restart"/>
            <w:shd w:val="clear" w:color="000000" w:fill="D9D9D9"/>
            <w:noWrap/>
            <w:vAlign w:val="center"/>
            <w:hideMark/>
          </w:tcPr>
          <w:p w14:paraId="45853886" w14:textId="77777777" w:rsidR="00066CB5" w:rsidRPr="00625DF1" w:rsidRDefault="00066CB5" w:rsidP="00066CB5">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Organismo/Institución</w:t>
            </w:r>
          </w:p>
        </w:tc>
        <w:tc>
          <w:tcPr>
            <w:tcW w:w="1571" w:type="pct"/>
            <w:gridSpan w:val="2"/>
            <w:shd w:val="clear" w:color="000000" w:fill="D9D9D9"/>
            <w:vAlign w:val="center"/>
            <w:hideMark/>
          </w:tcPr>
          <w:p w14:paraId="22D63C08" w14:textId="77777777" w:rsidR="00066CB5" w:rsidRPr="00625DF1" w:rsidRDefault="00066CB5" w:rsidP="00066CB5">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Crecimiento del PIB</w:t>
            </w:r>
          </w:p>
        </w:tc>
      </w:tr>
      <w:tr w:rsidR="00066CB5" w:rsidRPr="00625DF1" w14:paraId="14FE534F" w14:textId="77777777" w:rsidTr="00B7427D">
        <w:trPr>
          <w:trHeight w:val="300"/>
        </w:trPr>
        <w:tc>
          <w:tcPr>
            <w:tcW w:w="3429" w:type="pct"/>
            <w:vMerge/>
            <w:vAlign w:val="center"/>
            <w:hideMark/>
          </w:tcPr>
          <w:p w14:paraId="49DB339B" w14:textId="77777777" w:rsidR="00066CB5" w:rsidRPr="00625DF1" w:rsidRDefault="00066CB5" w:rsidP="00066CB5">
            <w:pPr>
              <w:spacing w:line="240" w:lineRule="auto"/>
              <w:jc w:val="left"/>
              <w:rPr>
                <w:rFonts w:eastAsia="Times New Roman" w:cs="Times New Roman"/>
                <w:color w:val="000000"/>
                <w:sz w:val="20"/>
                <w:szCs w:val="20"/>
                <w:lang w:eastAsia="es-MX"/>
              </w:rPr>
            </w:pPr>
          </w:p>
        </w:tc>
        <w:tc>
          <w:tcPr>
            <w:tcW w:w="786" w:type="pct"/>
            <w:shd w:val="clear" w:color="000000" w:fill="D9D9D9"/>
            <w:noWrap/>
            <w:vAlign w:val="bottom"/>
            <w:hideMark/>
          </w:tcPr>
          <w:p w14:paraId="7957A7CF" w14:textId="77777777" w:rsidR="00066CB5" w:rsidRPr="00625DF1" w:rsidRDefault="00066CB5" w:rsidP="00066CB5">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2022</w:t>
            </w:r>
          </w:p>
        </w:tc>
        <w:tc>
          <w:tcPr>
            <w:tcW w:w="785" w:type="pct"/>
            <w:shd w:val="clear" w:color="000000" w:fill="D9D9D9"/>
            <w:noWrap/>
            <w:vAlign w:val="bottom"/>
            <w:hideMark/>
          </w:tcPr>
          <w:p w14:paraId="32CD9C9F" w14:textId="77777777" w:rsidR="00066CB5" w:rsidRPr="00625DF1" w:rsidRDefault="00066CB5" w:rsidP="00066CB5">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2023</w:t>
            </w:r>
          </w:p>
        </w:tc>
      </w:tr>
      <w:tr w:rsidR="00066CB5" w:rsidRPr="00625DF1" w14:paraId="5D84A04C" w14:textId="77777777" w:rsidTr="00B7427D">
        <w:trPr>
          <w:trHeight w:val="300"/>
        </w:trPr>
        <w:tc>
          <w:tcPr>
            <w:tcW w:w="3429" w:type="pct"/>
            <w:shd w:val="clear" w:color="auto" w:fill="auto"/>
            <w:noWrap/>
            <w:vAlign w:val="center"/>
            <w:hideMark/>
          </w:tcPr>
          <w:p w14:paraId="7BCEC57A" w14:textId="54272BCC" w:rsidR="00066CB5" w:rsidRPr="00625DF1" w:rsidRDefault="00066CB5" w:rsidP="00CC4D73">
            <w:pPr>
              <w:spacing w:line="240" w:lineRule="auto"/>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 xml:space="preserve">Instituciones </w:t>
            </w:r>
            <w:r w:rsidR="004C2557" w:rsidRPr="00625DF1">
              <w:rPr>
                <w:rFonts w:eastAsia="Times New Roman" w:cs="Times New Roman"/>
                <w:color w:val="000000"/>
                <w:sz w:val="20"/>
                <w:szCs w:val="20"/>
                <w:lang w:eastAsia="es-MX"/>
              </w:rPr>
              <w:t>públicas n</w:t>
            </w:r>
            <w:r w:rsidRPr="00625DF1">
              <w:rPr>
                <w:rFonts w:eastAsia="Times New Roman" w:cs="Times New Roman"/>
                <w:color w:val="000000"/>
                <w:sz w:val="20"/>
                <w:szCs w:val="20"/>
                <w:lang w:eastAsia="es-MX"/>
              </w:rPr>
              <w:t>acionales</w:t>
            </w:r>
          </w:p>
        </w:tc>
        <w:tc>
          <w:tcPr>
            <w:tcW w:w="786" w:type="pct"/>
            <w:shd w:val="clear" w:color="auto" w:fill="auto"/>
            <w:noWrap/>
            <w:vAlign w:val="center"/>
            <w:hideMark/>
          </w:tcPr>
          <w:p w14:paraId="467AD9F9" w14:textId="10871E2E" w:rsidR="00066CB5" w:rsidRPr="00625DF1" w:rsidRDefault="00066CB5" w:rsidP="00CC4D73">
            <w:pPr>
              <w:spacing w:line="240" w:lineRule="auto"/>
              <w:jc w:val="center"/>
              <w:rPr>
                <w:rFonts w:eastAsia="Times New Roman" w:cs="Times New Roman"/>
                <w:color w:val="000000"/>
                <w:sz w:val="20"/>
                <w:szCs w:val="20"/>
                <w:lang w:eastAsia="es-MX"/>
              </w:rPr>
            </w:pPr>
          </w:p>
        </w:tc>
        <w:tc>
          <w:tcPr>
            <w:tcW w:w="785" w:type="pct"/>
            <w:shd w:val="clear" w:color="auto" w:fill="auto"/>
            <w:noWrap/>
            <w:vAlign w:val="center"/>
            <w:hideMark/>
          </w:tcPr>
          <w:p w14:paraId="7208FAA6" w14:textId="2A9D7B91" w:rsidR="00066CB5" w:rsidRPr="00625DF1" w:rsidRDefault="00066CB5" w:rsidP="00CC4D73">
            <w:pPr>
              <w:spacing w:line="240" w:lineRule="auto"/>
              <w:jc w:val="center"/>
              <w:rPr>
                <w:rFonts w:eastAsia="Times New Roman" w:cs="Times New Roman"/>
                <w:color w:val="000000"/>
                <w:sz w:val="20"/>
                <w:szCs w:val="20"/>
                <w:lang w:eastAsia="es-MX"/>
              </w:rPr>
            </w:pPr>
          </w:p>
        </w:tc>
      </w:tr>
      <w:tr w:rsidR="00066CB5" w:rsidRPr="00625DF1" w14:paraId="540FEA2A" w14:textId="77777777" w:rsidTr="00B7427D">
        <w:trPr>
          <w:trHeight w:val="285"/>
        </w:trPr>
        <w:tc>
          <w:tcPr>
            <w:tcW w:w="3429" w:type="pct"/>
            <w:shd w:val="clear" w:color="auto" w:fill="auto"/>
            <w:noWrap/>
            <w:vAlign w:val="center"/>
            <w:hideMark/>
          </w:tcPr>
          <w:p w14:paraId="44067653" w14:textId="0507F3CF" w:rsidR="00066CB5" w:rsidRPr="00625DF1" w:rsidRDefault="00D011E5" w:rsidP="00CC4D73">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Secretaría de Hacienda y Crédito Público</w:t>
            </w:r>
          </w:p>
        </w:tc>
        <w:tc>
          <w:tcPr>
            <w:tcW w:w="786" w:type="pct"/>
            <w:shd w:val="clear" w:color="auto" w:fill="auto"/>
            <w:noWrap/>
            <w:vAlign w:val="center"/>
            <w:hideMark/>
          </w:tcPr>
          <w:p w14:paraId="46F62B83" w14:textId="769A2DA2"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2.4</w:t>
            </w:r>
          </w:p>
        </w:tc>
        <w:tc>
          <w:tcPr>
            <w:tcW w:w="785" w:type="pct"/>
            <w:shd w:val="clear" w:color="auto" w:fill="auto"/>
            <w:noWrap/>
            <w:vAlign w:val="center"/>
            <w:hideMark/>
          </w:tcPr>
          <w:p w14:paraId="6CF026DD" w14:textId="13D59664"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3.0</w:t>
            </w:r>
          </w:p>
        </w:tc>
      </w:tr>
      <w:tr w:rsidR="00066CB5" w:rsidRPr="00625DF1" w14:paraId="6220A2CF" w14:textId="77777777" w:rsidTr="00B7427D">
        <w:trPr>
          <w:trHeight w:val="285"/>
        </w:trPr>
        <w:tc>
          <w:tcPr>
            <w:tcW w:w="3429" w:type="pct"/>
            <w:shd w:val="clear" w:color="auto" w:fill="auto"/>
            <w:noWrap/>
            <w:vAlign w:val="center"/>
            <w:hideMark/>
          </w:tcPr>
          <w:p w14:paraId="01972D18" w14:textId="77777777" w:rsidR="00066CB5" w:rsidRPr="00625DF1" w:rsidRDefault="00066CB5" w:rsidP="00CC4D73">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Banco de México</w:t>
            </w:r>
          </w:p>
        </w:tc>
        <w:tc>
          <w:tcPr>
            <w:tcW w:w="786" w:type="pct"/>
            <w:shd w:val="clear" w:color="auto" w:fill="auto"/>
            <w:noWrap/>
            <w:vAlign w:val="center"/>
            <w:hideMark/>
          </w:tcPr>
          <w:p w14:paraId="1FA9B169" w14:textId="03F73B98"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2.2</w:t>
            </w:r>
          </w:p>
        </w:tc>
        <w:tc>
          <w:tcPr>
            <w:tcW w:w="785" w:type="pct"/>
            <w:shd w:val="clear" w:color="auto" w:fill="auto"/>
            <w:noWrap/>
            <w:vAlign w:val="center"/>
            <w:hideMark/>
          </w:tcPr>
          <w:p w14:paraId="4C07CBC2" w14:textId="3EB5F1B6"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1.6</w:t>
            </w:r>
          </w:p>
        </w:tc>
      </w:tr>
      <w:tr w:rsidR="00066CB5" w:rsidRPr="00625DF1" w14:paraId="5A981E58" w14:textId="77777777" w:rsidTr="00B7427D">
        <w:trPr>
          <w:trHeight w:val="285"/>
        </w:trPr>
        <w:tc>
          <w:tcPr>
            <w:tcW w:w="3429" w:type="pct"/>
            <w:shd w:val="clear" w:color="auto" w:fill="auto"/>
            <w:noWrap/>
            <w:vAlign w:val="center"/>
            <w:hideMark/>
          </w:tcPr>
          <w:p w14:paraId="1912D2BE" w14:textId="77777777" w:rsidR="00066CB5" w:rsidRPr="00625DF1" w:rsidRDefault="00066CB5" w:rsidP="00CC4D73">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Encuesta Banco de México</w:t>
            </w:r>
          </w:p>
        </w:tc>
        <w:tc>
          <w:tcPr>
            <w:tcW w:w="786" w:type="pct"/>
            <w:shd w:val="clear" w:color="auto" w:fill="auto"/>
            <w:noWrap/>
            <w:vAlign w:val="center"/>
            <w:hideMark/>
          </w:tcPr>
          <w:p w14:paraId="022B79F3" w14:textId="6C3D38CC" w:rsidR="00066CB5" w:rsidRPr="00625DF1" w:rsidRDefault="00DA6750"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2.1</w:t>
            </w:r>
          </w:p>
        </w:tc>
        <w:tc>
          <w:tcPr>
            <w:tcW w:w="785" w:type="pct"/>
            <w:shd w:val="clear" w:color="auto" w:fill="auto"/>
            <w:noWrap/>
            <w:vAlign w:val="center"/>
            <w:hideMark/>
          </w:tcPr>
          <w:p w14:paraId="58F21839" w14:textId="65640F04"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w:t>
            </w:r>
            <w:r w:rsidR="00DA6750" w:rsidRPr="00625DF1">
              <w:rPr>
                <w:rFonts w:eastAsia="Times New Roman" w:cs="Times New Roman"/>
                <w:color w:val="000000"/>
                <w:sz w:val="20"/>
                <w:szCs w:val="20"/>
                <w:lang w:eastAsia="es-MX"/>
              </w:rPr>
              <w:t>0</w:t>
            </w:r>
          </w:p>
        </w:tc>
      </w:tr>
      <w:tr w:rsidR="00B7427D" w:rsidRPr="00625DF1" w14:paraId="56291CB1" w14:textId="77777777" w:rsidTr="00B7427D">
        <w:trPr>
          <w:trHeight w:val="285"/>
        </w:trPr>
        <w:tc>
          <w:tcPr>
            <w:tcW w:w="3429" w:type="pct"/>
            <w:shd w:val="clear" w:color="auto" w:fill="auto"/>
            <w:noWrap/>
            <w:vAlign w:val="center"/>
          </w:tcPr>
          <w:p w14:paraId="091316E9" w14:textId="4C324A52" w:rsidR="00B7427D" w:rsidRPr="00625DF1" w:rsidRDefault="00B7427D" w:rsidP="00B7427D">
            <w:pPr>
              <w:spacing w:line="240" w:lineRule="auto"/>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Instituciones privadas</w:t>
            </w:r>
          </w:p>
        </w:tc>
        <w:tc>
          <w:tcPr>
            <w:tcW w:w="786" w:type="pct"/>
            <w:shd w:val="clear" w:color="auto" w:fill="auto"/>
            <w:noWrap/>
            <w:vAlign w:val="center"/>
          </w:tcPr>
          <w:p w14:paraId="3C628F75" w14:textId="77777777" w:rsidR="00B7427D" w:rsidRPr="00625DF1" w:rsidRDefault="00B7427D" w:rsidP="00B7427D">
            <w:pPr>
              <w:spacing w:line="240" w:lineRule="auto"/>
              <w:jc w:val="center"/>
              <w:rPr>
                <w:rFonts w:eastAsia="Times New Roman" w:cs="Times New Roman"/>
                <w:color w:val="000000"/>
                <w:sz w:val="20"/>
                <w:szCs w:val="20"/>
                <w:lang w:eastAsia="es-MX"/>
              </w:rPr>
            </w:pPr>
          </w:p>
        </w:tc>
        <w:tc>
          <w:tcPr>
            <w:tcW w:w="785" w:type="pct"/>
            <w:shd w:val="clear" w:color="auto" w:fill="auto"/>
            <w:noWrap/>
            <w:vAlign w:val="center"/>
          </w:tcPr>
          <w:p w14:paraId="2C2658CB" w14:textId="77777777" w:rsidR="00B7427D" w:rsidRPr="00625DF1" w:rsidRDefault="00B7427D" w:rsidP="00B7427D">
            <w:pPr>
              <w:spacing w:line="240" w:lineRule="auto"/>
              <w:jc w:val="center"/>
              <w:rPr>
                <w:rFonts w:eastAsia="Times New Roman" w:cs="Times New Roman"/>
                <w:color w:val="000000"/>
                <w:sz w:val="20"/>
                <w:szCs w:val="20"/>
                <w:lang w:eastAsia="es-MX"/>
              </w:rPr>
            </w:pPr>
          </w:p>
        </w:tc>
      </w:tr>
      <w:tr w:rsidR="00B7427D" w:rsidRPr="00625DF1" w14:paraId="3F8431AE" w14:textId="77777777" w:rsidTr="00B7427D">
        <w:trPr>
          <w:trHeight w:val="285"/>
        </w:trPr>
        <w:tc>
          <w:tcPr>
            <w:tcW w:w="3429" w:type="pct"/>
            <w:shd w:val="clear" w:color="auto" w:fill="auto"/>
            <w:noWrap/>
            <w:vAlign w:val="center"/>
          </w:tcPr>
          <w:p w14:paraId="185185D9" w14:textId="6E973D37" w:rsidR="00B7427D" w:rsidRPr="00625DF1" w:rsidRDefault="00B7427D" w:rsidP="00B7427D">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Encuesta Citibanamex</w:t>
            </w:r>
          </w:p>
        </w:tc>
        <w:tc>
          <w:tcPr>
            <w:tcW w:w="786" w:type="pct"/>
            <w:shd w:val="clear" w:color="auto" w:fill="auto"/>
            <w:noWrap/>
            <w:vAlign w:val="center"/>
          </w:tcPr>
          <w:p w14:paraId="0A88863E" w14:textId="3B145C18" w:rsidR="00B7427D" w:rsidRPr="00625DF1" w:rsidRDefault="00B7427D" w:rsidP="00B7427D">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2.5</w:t>
            </w:r>
          </w:p>
        </w:tc>
        <w:tc>
          <w:tcPr>
            <w:tcW w:w="785" w:type="pct"/>
            <w:shd w:val="clear" w:color="auto" w:fill="auto"/>
            <w:noWrap/>
            <w:vAlign w:val="center"/>
          </w:tcPr>
          <w:p w14:paraId="3292A9AD" w14:textId="171DDAF7" w:rsidR="00B7427D" w:rsidRPr="00625DF1" w:rsidRDefault="00B7427D" w:rsidP="00B7427D">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0.9</w:t>
            </w:r>
          </w:p>
        </w:tc>
      </w:tr>
      <w:tr w:rsidR="00B7427D" w:rsidRPr="00625DF1" w14:paraId="68A231EA" w14:textId="77777777" w:rsidTr="00B7427D">
        <w:trPr>
          <w:trHeight w:val="285"/>
        </w:trPr>
        <w:tc>
          <w:tcPr>
            <w:tcW w:w="3429" w:type="pct"/>
            <w:shd w:val="clear" w:color="auto" w:fill="auto"/>
            <w:noWrap/>
            <w:vAlign w:val="center"/>
          </w:tcPr>
          <w:p w14:paraId="3F1E05AE" w14:textId="6F65EBD3" w:rsidR="00B7427D" w:rsidRPr="00625DF1" w:rsidRDefault="00B7427D" w:rsidP="00B7427D">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Encuesta Instituto Mexicano de Ejecutivos de Finanzas</w:t>
            </w:r>
          </w:p>
        </w:tc>
        <w:tc>
          <w:tcPr>
            <w:tcW w:w="786" w:type="pct"/>
            <w:shd w:val="clear" w:color="auto" w:fill="auto"/>
            <w:noWrap/>
            <w:vAlign w:val="center"/>
          </w:tcPr>
          <w:p w14:paraId="7DCCADB6" w14:textId="34150367" w:rsidR="00B7427D" w:rsidRPr="00625DF1" w:rsidRDefault="00B7427D" w:rsidP="00B7427D">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2.5</w:t>
            </w:r>
          </w:p>
        </w:tc>
        <w:tc>
          <w:tcPr>
            <w:tcW w:w="785" w:type="pct"/>
            <w:shd w:val="clear" w:color="auto" w:fill="auto"/>
            <w:noWrap/>
            <w:vAlign w:val="center"/>
          </w:tcPr>
          <w:p w14:paraId="30312697" w14:textId="253042BD" w:rsidR="00B7427D" w:rsidRPr="00625DF1" w:rsidRDefault="00B7427D" w:rsidP="00B7427D">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1.1</w:t>
            </w:r>
          </w:p>
        </w:tc>
      </w:tr>
      <w:tr w:rsidR="00066CB5" w:rsidRPr="00625DF1" w14:paraId="55185019" w14:textId="77777777" w:rsidTr="00B7427D">
        <w:trPr>
          <w:trHeight w:val="300"/>
        </w:trPr>
        <w:tc>
          <w:tcPr>
            <w:tcW w:w="3429" w:type="pct"/>
            <w:shd w:val="clear" w:color="auto" w:fill="auto"/>
            <w:noWrap/>
            <w:vAlign w:val="center"/>
            <w:hideMark/>
          </w:tcPr>
          <w:p w14:paraId="18D10C6F" w14:textId="60151FBA" w:rsidR="00066CB5" w:rsidRPr="00625DF1" w:rsidRDefault="00066CB5" w:rsidP="00CC4D73">
            <w:pPr>
              <w:spacing w:line="240" w:lineRule="auto"/>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 xml:space="preserve">Organismos </w:t>
            </w:r>
            <w:r w:rsidR="004C2557" w:rsidRPr="00625DF1">
              <w:rPr>
                <w:rFonts w:eastAsia="Times New Roman" w:cs="Times New Roman"/>
                <w:color w:val="000000"/>
                <w:sz w:val="20"/>
                <w:szCs w:val="20"/>
                <w:lang w:eastAsia="es-MX"/>
              </w:rPr>
              <w:t>internacionales</w:t>
            </w:r>
          </w:p>
        </w:tc>
        <w:tc>
          <w:tcPr>
            <w:tcW w:w="786" w:type="pct"/>
            <w:shd w:val="clear" w:color="auto" w:fill="auto"/>
            <w:noWrap/>
            <w:vAlign w:val="center"/>
            <w:hideMark/>
          </w:tcPr>
          <w:p w14:paraId="26D6B878" w14:textId="04E961C7" w:rsidR="00066CB5" w:rsidRPr="00625DF1" w:rsidRDefault="00066CB5" w:rsidP="00CC4D73">
            <w:pPr>
              <w:spacing w:line="240" w:lineRule="auto"/>
              <w:jc w:val="center"/>
              <w:rPr>
                <w:rFonts w:eastAsia="Times New Roman" w:cs="Times New Roman"/>
                <w:color w:val="000000"/>
                <w:sz w:val="20"/>
                <w:szCs w:val="20"/>
                <w:lang w:eastAsia="es-MX"/>
              </w:rPr>
            </w:pPr>
          </w:p>
        </w:tc>
        <w:tc>
          <w:tcPr>
            <w:tcW w:w="785" w:type="pct"/>
            <w:shd w:val="clear" w:color="auto" w:fill="auto"/>
            <w:noWrap/>
            <w:vAlign w:val="center"/>
            <w:hideMark/>
          </w:tcPr>
          <w:p w14:paraId="166FABA3" w14:textId="0858BB81" w:rsidR="00066CB5" w:rsidRPr="00625DF1" w:rsidRDefault="00066CB5" w:rsidP="00CC4D73">
            <w:pPr>
              <w:spacing w:line="240" w:lineRule="auto"/>
              <w:jc w:val="center"/>
              <w:rPr>
                <w:rFonts w:eastAsia="Times New Roman" w:cs="Times New Roman"/>
                <w:color w:val="000000"/>
                <w:sz w:val="20"/>
                <w:szCs w:val="20"/>
                <w:lang w:eastAsia="es-MX"/>
              </w:rPr>
            </w:pPr>
          </w:p>
        </w:tc>
      </w:tr>
      <w:tr w:rsidR="00066CB5" w:rsidRPr="00625DF1" w14:paraId="6CF8C302" w14:textId="77777777" w:rsidTr="00B7427D">
        <w:trPr>
          <w:trHeight w:val="285"/>
        </w:trPr>
        <w:tc>
          <w:tcPr>
            <w:tcW w:w="3429" w:type="pct"/>
            <w:shd w:val="clear" w:color="auto" w:fill="auto"/>
            <w:noWrap/>
            <w:vAlign w:val="center"/>
            <w:hideMark/>
          </w:tcPr>
          <w:p w14:paraId="20C5BEA7" w14:textId="3D992432" w:rsidR="00066CB5" w:rsidRPr="00625DF1" w:rsidRDefault="00D011E5" w:rsidP="00CC4D73">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Comisión Económica para América Latina y el Caribe</w:t>
            </w:r>
          </w:p>
        </w:tc>
        <w:tc>
          <w:tcPr>
            <w:tcW w:w="786" w:type="pct"/>
            <w:shd w:val="clear" w:color="auto" w:fill="auto"/>
            <w:noWrap/>
            <w:vAlign w:val="center"/>
            <w:hideMark/>
          </w:tcPr>
          <w:p w14:paraId="5D2FD1E6" w14:textId="4F1DFDC8"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1.9</w:t>
            </w:r>
          </w:p>
        </w:tc>
        <w:tc>
          <w:tcPr>
            <w:tcW w:w="785" w:type="pct"/>
            <w:shd w:val="clear" w:color="auto" w:fill="auto"/>
            <w:noWrap/>
            <w:vAlign w:val="center"/>
            <w:hideMark/>
          </w:tcPr>
          <w:p w14:paraId="0E945E77" w14:textId="4C9DCB28"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1.1</w:t>
            </w:r>
          </w:p>
        </w:tc>
      </w:tr>
      <w:tr w:rsidR="00066CB5" w:rsidRPr="00625DF1" w14:paraId="41502A5B" w14:textId="77777777" w:rsidTr="00B7427D">
        <w:trPr>
          <w:trHeight w:val="285"/>
        </w:trPr>
        <w:tc>
          <w:tcPr>
            <w:tcW w:w="3429" w:type="pct"/>
            <w:shd w:val="clear" w:color="auto" w:fill="auto"/>
            <w:noWrap/>
            <w:vAlign w:val="center"/>
            <w:hideMark/>
          </w:tcPr>
          <w:p w14:paraId="1E5E2461" w14:textId="68F32AA9" w:rsidR="00066CB5" w:rsidRPr="00625DF1" w:rsidRDefault="00D011E5" w:rsidP="00CC4D73">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Organización para la Cooperación y el Desarrollo Económico</w:t>
            </w:r>
            <w:r w:rsidR="008D0DDB" w:rsidRPr="00625DF1">
              <w:rPr>
                <w:rFonts w:eastAsia="Times New Roman" w:cs="Times New Roman"/>
                <w:color w:val="000000"/>
                <w:sz w:val="20"/>
                <w:szCs w:val="20"/>
                <w:lang w:eastAsia="es-MX"/>
              </w:rPr>
              <w:t>s</w:t>
            </w:r>
          </w:p>
        </w:tc>
        <w:tc>
          <w:tcPr>
            <w:tcW w:w="786" w:type="pct"/>
            <w:shd w:val="clear" w:color="auto" w:fill="auto"/>
            <w:noWrap/>
            <w:vAlign w:val="center"/>
            <w:hideMark/>
          </w:tcPr>
          <w:p w14:paraId="1CA6726F" w14:textId="5C878DC7"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2.1</w:t>
            </w:r>
          </w:p>
        </w:tc>
        <w:tc>
          <w:tcPr>
            <w:tcW w:w="785" w:type="pct"/>
            <w:shd w:val="clear" w:color="auto" w:fill="auto"/>
            <w:noWrap/>
            <w:vAlign w:val="center"/>
            <w:hideMark/>
          </w:tcPr>
          <w:p w14:paraId="3880D3F5" w14:textId="5756F9BC"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1.5</w:t>
            </w:r>
          </w:p>
        </w:tc>
      </w:tr>
      <w:tr w:rsidR="00066CB5" w:rsidRPr="00625DF1" w14:paraId="37325FA0" w14:textId="77777777" w:rsidTr="00B7427D">
        <w:trPr>
          <w:trHeight w:val="285"/>
        </w:trPr>
        <w:tc>
          <w:tcPr>
            <w:tcW w:w="3429" w:type="pct"/>
            <w:shd w:val="clear" w:color="auto" w:fill="auto"/>
            <w:noWrap/>
            <w:vAlign w:val="center"/>
            <w:hideMark/>
          </w:tcPr>
          <w:p w14:paraId="3B75C26B" w14:textId="77777777" w:rsidR="00066CB5" w:rsidRPr="00625DF1" w:rsidRDefault="00066CB5" w:rsidP="00CC4D73">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Banco Mundial</w:t>
            </w:r>
          </w:p>
        </w:tc>
        <w:tc>
          <w:tcPr>
            <w:tcW w:w="786" w:type="pct"/>
            <w:shd w:val="clear" w:color="auto" w:fill="auto"/>
            <w:noWrap/>
            <w:vAlign w:val="center"/>
            <w:hideMark/>
          </w:tcPr>
          <w:p w14:paraId="2FB06926" w14:textId="3EB79776"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1.8</w:t>
            </w:r>
          </w:p>
        </w:tc>
        <w:tc>
          <w:tcPr>
            <w:tcW w:w="785" w:type="pct"/>
            <w:shd w:val="clear" w:color="auto" w:fill="auto"/>
            <w:noWrap/>
            <w:vAlign w:val="center"/>
            <w:hideMark/>
          </w:tcPr>
          <w:p w14:paraId="1DBEAE53" w14:textId="243A4E81"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1.5</w:t>
            </w:r>
          </w:p>
        </w:tc>
      </w:tr>
      <w:tr w:rsidR="00066CB5" w:rsidRPr="00625DF1" w14:paraId="21628FA9" w14:textId="77777777" w:rsidTr="00B7427D">
        <w:trPr>
          <w:trHeight w:val="285"/>
        </w:trPr>
        <w:tc>
          <w:tcPr>
            <w:tcW w:w="3429" w:type="pct"/>
            <w:shd w:val="clear" w:color="auto" w:fill="auto"/>
            <w:noWrap/>
            <w:vAlign w:val="center"/>
            <w:hideMark/>
          </w:tcPr>
          <w:p w14:paraId="228B3CD1" w14:textId="32EC22FD" w:rsidR="00066CB5" w:rsidRPr="00625DF1" w:rsidRDefault="00D011E5" w:rsidP="00CC4D73">
            <w:pPr>
              <w:spacing w:line="240" w:lineRule="auto"/>
              <w:ind w:firstLineChars="200" w:firstLine="400"/>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Fondo Monetario Internacional</w:t>
            </w:r>
          </w:p>
        </w:tc>
        <w:tc>
          <w:tcPr>
            <w:tcW w:w="786" w:type="pct"/>
            <w:shd w:val="clear" w:color="auto" w:fill="auto"/>
            <w:noWrap/>
            <w:vAlign w:val="center"/>
            <w:hideMark/>
          </w:tcPr>
          <w:p w14:paraId="52A8E089" w14:textId="6BE26D06"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2.1</w:t>
            </w:r>
          </w:p>
        </w:tc>
        <w:tc>
          <w:tcPr>
            <w:tcW w:w="785" w:type="pct"/>
            <w:shd w:val="clear" w:color="auto" w:fill="auto"/>
            <w:noWrap/>
            <w:vAlign w:val="center"/>
            <w:hideMark/>
          </w:tcPr>
          <w:p w14:paraId="33BAD3F8" w14:textId="687D67ED" w:rsidR="00066CB5" w:rsidRPr="00625DF1" w:rsidRDefault="00066CB5"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1.2</w:t>
            </w:r>
          </w:p>
        </w:tc>
      </w:tr>
      <w:tr w:rsidR="00CC4D73" w:rsidRPr="00625DF1" w14:paraId="17CABA0B" w14:textId="77777777" w:rsidTr="00B7427D">
        <w:trPr>
          <w:trHeight w:val="285"/>
        </w:trPr>
        <w:tc>
          <w:tcPr>
            <w:tcW w:w="3429" w:type="pct"/>
            <w:shd w:val="clear" w:color="auto" w:fill="F2F2F2" w:themeFill="background1" w:themeFillShade="F2"/>
            <w:noWrap/>
            <w:vAlign w:val="center"/>
          </w:tcPr>
          <w:p w14:paraId="12F81403" w14:textId="00A61B09" w:rsidR="00CC4D73" w:rsidRPr="00625DF1" w:rsidRDefault="00CC4D73" w:rsidP="00CC4D73">
            <w:pPr>
              <w:spacing w:line="240" w:lineRule="auto"/>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Promedio</w:t>
            </w:r>
          </w:p>
        </w:tc>
        <w:tc>
          <w:tcPr>
            <w:tcW w:w="786" w:type="pct"/>
            <w:shd w:val="clear" w:color="auto" w:fill="F2F2F2" w:themeFill="background1" w:themeFillShade="F2"/>
            <w:noWrap/>
            <w:vAlign w:val="center"/>
          </w:tcPr>
          <w:p w14:paraId="5224780D" w14:textId="20C085BE" w:rsidR="00CC4D73" w:rsidRPr="00625DF1" w:rsidRDefault="00CC4D73"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w:t>
            </w:r>
            <w:r w:rsidR="007B44B1" w:rsidRPr="00625DF1">
              <w:rPr>
                <w:rFonts w:eastAsia="Times New Roman" w:cs="Times New Roman"/>
                <w:color w:val="000000"/>
                <w:sz w:val="20"/>
                <w:szCs w:val="20"/>
                <w:lang w:eastAsia="es-MX"/>
              </w:rPr>
              <w:t>2</w:t>
            </w:r>
          </w:p>
        </w:tc>
        <w:tc>
          <w:tcPr>
            <w:tcW w:w="785" w:type="pct"/>
            <w:shd w:val="clear" w:color="auto" w:fill="F2F2F2" w:themeFill="background1" w:themeFillShade="F2"/>
            <w:noWrap/>
            <w:vAlign w:val="center"/>
          </w:tcPr>
          <w:p w14:paraId="5C1E7711" w14:textId="15D24BA4" w:rsidR="00CC4D73" w:rsidRPr="00625DF1" w:rsidRDefault="00CC4D73"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w:t>
            </w:r>
            <w:r w:rsidR="00F13B4C" w:rsidRPr="00625DF1">
              <w:rPr>
                <w:rFonts w:eastAsia="Times New Roman" w:cs="Times New Roman"/>
                <w:color w:val="000000"/>
                <w:sz w:val="20"/>
                <w:szCs w:val="20"/>
                <w:lang w:eastAsia="es-MX"/>
              </w:rPr>
              <w:t>4</w:t>
            </w:r>
          </w:p>
        </w:tc>
      </w:tr>
      <w:tr w:rsidR="00CC4D73" w:rsidRPr="00625DF1" w14:paraId="3A06702D" w14:textId="77777777" w:rsidTr="00B7427D">
        <w:trPr>
          <w:trHeight w:val="285"/>
        </w:trPr>
        <w:tc>
          <w:tcPr>
            <w:tcW w:w="3429" w:type="pct"/>
            <w:shd w:val="clear" w:color="auto" w:fill="F2F2F2" w:themeFill="background1" w:themeFillShade="F2"/>
            <w:noWrap/>
            <w:vAlign w:val="center"/>
          </w:tcPr>
          <w:p w14:paraId="5DAF67B0" w14:textId="69B33B0C" w:rsidR="00CC4D73" w:rsidRPr="00625DF1" w:rsidRDefault="00CC4D73" w:rsidP="00CC4D73">
            <w:pPr>
              <w:spacing w:line="240" w:lineRule="auto"/>
              <w:jc w:val="left"/>
              <w:rPr>
                <w:rFonts w:eastAsia="Times New Roman" w:cs="Times New Roman"/>
                <w:color w:val="000000"/>
                <w:sz w:val="20"/>
                <w:szCs w:val="20"/>
                <w:lang w:eastAsia="es-MX"/>
              </w:rPr>
            </w:pPr>
            <w:r w:rsidRPr="00625DF1">
              <w:rPr>
                <w:rFonts w:eastAsia="Times New Roman" w:cs="Times New Roman"/>
                <w:color w:val="000000"/>
                <w:sz w:val="20"/>
                <w:szCs w:val="20"/>
                <w:lang w:eastAsia="es-MX"/>
              </w:rPr>
              <w:t>Mediana</w:t>
            </w:r>
          </w:p>
        </w:tc>
        <w:tc>
          <w:tcPr>
            <w:tcW w:w="786" w:type="pct"/>
            <w:shd w:val="clear" w:color="auto" w:fill="F2F2F2" w:themeFill="background1" w:themeFillShade="F2"/>
            <w:noWrap/>
            <w:vAlign w:val="center"/>
          </w:tcPr>
          <w:p w14:paraId="2D29AC3C" w14:textId="562E6A9A" w:rsidR="00CC4D73" w:rsidRPr="00625DF1" w:rsidRDefault="00CC4D73"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2.</w:t>
            </w:r>
            <w:r w:rsidR="00DA6750" w:rsidRPr="00625DF1">
              <w:rPr>
                <w:rFonts w:eastAsia="Times New Roman" w:cs="Times New Roman"/>
                <w:color w:val="000000"/>
                <w:sz w:val="20"/>
                <w:szCs w:val="20"/>
                <w:lang w:eastAsia="es-MX"/>
              </w:rPr>
              <w:t>1</w:t>
            </w:r>
          </w:p>
        </w:tc>
        <w:tc>
          <w:tcPr>
            <w:tcW w:w="785" w:type="pct"/>
            <w:shd w:val="clear" w:color="auto" w:fill="F2F2F2" w:themeFill="background1" w:themeFillShade="F2"/>
            <w:noWrap/>
            <w:vAlign w:val="center"/>
          </w:tcPr>
          <w:p w14:paraId="32C13B23" w14:textId="554F3EA8" w:rsidR="00CC4D73" w:rsidRPr="00625DF1" w:rsidRDefault="00CC4D73" w:rsidP="00CC4D73">
            <w:pPr>
              <w:spacing w:line="240" w:lineRule="auto"/>
              <w:jc w:val="center"/>
              <w:rPr>
                <w:rFonts w:eastAsia="Times New Roman" w:cs="Times New Roman"/>
                <w:color w:val="000000"/>
                <w:sz w:val="20"/>
                <w:szCs w:val="20"/>
                <w:lang w:eastAsia="es-MX"/>
              </w:rPr>
            </w:pPr>
            <w:r w:rsidRPr="00625DF1">
              <w:rPr>
                <w:rFonts w:eastAsia="Times New Roman" w:cs="Times New Roman"/>
                <w:color w:val="000000"/>
                <w:sz w:val="20"/>
                <w:szCs w:val="20"/>
                <w:lang w:eastAsia="es-MX"/>
              </w:rPr>
              <w:t>1.</w:t>
            </w:r>
            <w:r w:rsidR="00DA6750" w:rsidRPr="00625DF1">
              <w:rPr>
                <w:rFonts w:eastAsia="Times New Roman" w:cs="Times New Roman"/>
                <w:color w:val="000000"/>
                <w:sz w:val="20"/>
                <w:szCs w:val="20"/>
                <w:lang w:eastAsia="es-MX"/>
              </w:rPr>
              <w:t>2</w:t>
            </w:r>
          </w:p>
        </w:tc>
      </w:tr>
    </w:tbl>
    <w:p w14:paraId="70E2545B" w14:textId="7ADAACAE" w:rsidR="00410F0F" w:rsidRPr="00E84DBE" w:rsidRDefault="00B17344" w:rsidP="00066CB5">
      <w:pPr>
        <w:rPr>
          <w:rFonts w:eastAsia="Calibri" w:cs="Times New Roman"/>
          <w:bCs/>
          <w:sz w:val="14"/>
          <w:szCs w:val="14"/>
        </w:rPr>
      </w:pPr>
      <w:r w:rsidRPr="00E84DBE">
        <w:rPr>
          <w:rFonts w:eastAsia="Calibri" w:cs="Times New Roman"/>
          <w:bCs/>
          <w:sz w:val="14"/>
          <w:szCs w:val="14"/>
        </w:rPr>
        <w:t xml:space="preserve">Fuente: </w:t>
      </w:r>
      <w:r w:rsidR="00B7427D" w:rsidRPr="00E84DBE">
        <w:rPr>
          <w:rFonts w:eastAsia="Calibri" w:cs="Times New Roman"/>
          <w:bCs/>
          <w:sz w:val="14"/>
          <w:szCs w:val="14"/>
        </w:rPr>
        <w:t xml:space="preserve">SHCP, Criterios Generales de Política Económica para el Ejercicio Fiscal 2023 (septiembre 2022); Banxico, Informe Trimestral Abril-Junio (agosto 2022) y Encuesta sobre las Expectativas de los Especialistas en Economía del Sector Privado (noviembre 2022); Citibanamex, Encuesta de Expectativas (noviembre 2022); IMEF, Encuesta de Expectativas Económicas (noviembre, 2022); </w:t>
      </w:r>
      <w:r w:rsidR="00B34107" w:rsidRPr="00E84DBE">
        <w:rPr>
          <w:rFonts w:eastAsia="Calibri" w:cs="Times New Roman"/>
          <w:bCs/>
          <w:sz w:val="14"/>
          <w:szCs w:val="14"/>
        </w:rPr>
        <w:t>CEPAL</w:t>
      </w:r>
      <w:r w:rsidR="00953F66" w:rsidRPr="00E84DBE">
        <w:rPr>
          <w:rFonts w:eastAsia="Calibri" w:cs="Times New Roman"/>
          <w:bCs/>
          <w:sz w:val="14"/>
          <w:szCs w:val="14"/>
        </w:rPr>
        <w:t xml:space="preserve">, Proyecciones de crecimiento para América Latina y el Caribe 2022-2023 (octubre 2022); OECD, Economic Outlook, Interim Report (septiembre 2022); </w:t>
      </w:r>
      <w:r w:rsidR="00410F0F" w:rsidRPr="00E84DBE">
        <w:rPr>
          <w:rFonts w:eastAsia="Calibri" w:cs="Times New Roman"/>
          <w:bCs/>
          <w:sz w:val="14"/>
          <w:szCs w:val="14"/>
        </w:rPr>
        <w:t xml:space="preserve">Banco Mundial, Informe Económico de América Latina y el Caribe (octubre 2022); </w:t>
      </w:r>
      <w:r w:rsidR="00D011E5" w:rsidRPr="00E84DBE">
        <w:rPr>
          <w:rFonts w:eastAsia="Calibri" w:cs="Times New Roman"/>
          <w:bCs/>
          <w:sz w:val="14"/>
          <w:szCs w:val="14"/>
        </w:rPr>
        <w:t>FMI</w:t>
      </w:r>
      <w:r w:rsidR="00410F0F" w:rsidRPr="00E84DBE">
        <w:rPr>
          <w:rFonts w:eastAsia="Calibri" w:cs="Times New Roman"/>
          <w:bCs/>
          <w:sz w:val="14"/>
          <w:szCs w:val="14"/>
        </w:rPr>
        <w:t>, World Econ</w:t>
      </w:r>
      <w:r w:rsidR="0095122A" w:rsidRPr="00E84DBE">
        <w:rPr>
          <w:rFonts w:eastAsia="Calibri" w:cs="Times New Roman"/>
          <w:bCs/>
          <w:sz w:val="14"/>
          <w:szCs w:val="14"/>
        </w:rPr>
        <w:t>o</w:t>
      </w:r>
      <w:r w:rsidR="00410F0F" w:rsidRPr="00E84DBE">
        <w:rPr>
          <w:rFonts w:eastAsia="Calibri" w:cs="Times New Roman"/>
          <w:bCs/>
          <w:sz w:val="14"/>
          <w:szCs w:val="14"/>
        </w:rPr>
        <w:t>mic Outlook</w:t>
      </w:r>
      <w:r w:rsidR="00397D06" w:rsidRPr="00E84DBE">
        <w:rPr>
          <w:rFonts w:eastAsia="Calibri" w:cs="Times New Roman"/>
          <w:bCs/>
          <w:sz w:val="14"/>
          <w:szCs w:val="14"/>
        </w:rPr>
        <w:t xml:space="preserve"> (octubre 2022)</w:t>
      </w:r>
      <w:r w:rsidR="00B7427D" w:rsidRPr="00E84DBE">
        <w:rPr>
          <w:rFonts w:eastAsia="Calibri" w:cs="Times New Roman"/>
          <w:bCs/>
          <w:sz w:val="14"/>
          <w:szCs w:val="14"/>
        </w:rPr>
        <w:t>.</w:t>
      </w:r>
    </w:p>
    <w:p w14:paraId="231612FA" w14:textId="35CB1D5F" w:rsidR="00953F66" w:rsidRPr="00625DF1" w:rsidRDefault="00953F66" w:rsidP="00B17344">
      <w:pPr>
        <w:rPr>
          <w:rFonts w:eastAsia="Calibri" w:cs="Times New Roman"/>
          <w:bCs/>
          <w:sz w:val="22"/>
          <w:szCs w:val="22"/>
        </w:rPr>
      </w:pPr>
    </w:p>
    <w:p w14:paraId="3CDEE4D7" w14:textId="6CD0A6BF" w:rsidR="00071244" w:rsidRPr="00625DF1" w:rsidRDefault="00071244" w:rsidP="00E235B1">
      <w:pPr>
        <w:pStyle w:val="Ttulo2"/>
        <w:rPr>
          <w:b/>
          <w:bCs/>
          <w:sz w:val="22"/>
          <w:szCs w:val="22"/>
        </w:rPr>
      </w:pPr>
      <w:r w:rsidRPr="00625DF1">
        <w:rPr>
          <w:b/>
          <w:bCs/>
          <w:sz w:val="22"/>
          <w:szCs w:val="22"/>
        </w:rPr>
        <w:t>Entorno económico estatal</w:t>
      </w:r>
    </w:p>
    <w:p w14:paraId="17C2550B" w14:textId="34DC1EC0" w:rsidR="00DD0E6C" w:rsidRPr="00625DF1" w:rsidRDefault="00DD0E6C" w:rsidP="00074AD8">
      <w:pPr>
        <w:rPr>
          <w:sz w:val="22"/>
          <w:szCs w:val="22"/>
        </w:rPr>
      </w:pPr>
    </w:p>
    <w:p w14:paraId="7135C77D" w14:textId="7D843488" w:rsidR="000513EC" w:rsidRPr="00625DF1" w:rsidRDefault="003E063C" w:rsidP="00074AD8">
      <w:pPr>
        <w:rPr>
          <w:sz w:val="22"/>
          <w:szCs w:val="22"/>
        </w:rPr>
      </w:pPr>
      <w:r w:rsidRPr="00625DF1">
        <w:rPr>
          <w:sz w:val="22"/>
          <w:szCs w:val="22"/>
        </w:rPr>
        <w:t>El dinamismo y recuperación observado a nivel nacional durante 2022, también se percibe a nivel estatal tras los esfuerzos emprendidos desde el inicio de la pandemia en 2020, que han permitido aminorar los efectos negativos en el bienestar de los mexiquenses, y atender a la reconfiguración de la dinámica social y económica que se vive</w:t>
      </w:r>
      <w:r w:rsidR="001C7C0E" w:rsidRPr="00625DF1">
        <w:rPr>
          <w:sz w:val="22"/>
          <w:szCs w:val="22"/>
        </w:rPr>
        <w:t>.</w:t>
      </w:r>
      <w:r w:rsidR="00833CFB" w:rsidRPr="00625DF1">
        <w:rPr>
          <w:color w:val="BFBFBF" w:themeColor="background1" w:themeShade="BF"/>
          <w:sz w:val="22"/>
          <w:szCs w:val="22"/>
        </w:rPr>
        <w:t xml:space="preserve"> </w:t>
      </w:r>
      <w:r w:rsidR="00E14698" w:rsidRPr="00625DF1">
        <w:rPr>
          <w:sz w:val="22"/>
          <w:szCs w:val="22"/>
        </w:rPr>
        <w:t>A</w:t>
      </w:r>
      <w:r w:rsidR="000513EC" w:rsidRPr="00625DF1">
        <w:rPr>
          <w:sz w:val="22"/>
          <w:szCs w:val="22"/>
        </w:rPr>
        <w:t>sí lo reflejan indicadores tales como:</w:t>
      </w:r>
    </w:p>
    <w:p w14:paraId="37330C15" w14:textId="77777777" w:rsidR="000513EC" w:rsidRPr="00625DF1" w:rsidRDefault="000513EC" w:rsidP="00721D55">
      <w:pPr>
        <w:pStyle w:val="Default"/>
        <w:spacing w:line="276" w:lineRule="auto"/>
        <w:jc w:val="both"/>
        <w:rPr>
          <w:rFonts w:ascii="HelveticaNeueLT Std" w:hAnsi="HelveticaNeueLT Std"/>
          <w:color w:val="auto"/>
          <w:sz w:val="22"/>
          <w:szCs w:val="22"/>
        </w:rPr>
      </w:pPr>
    </w:p>
    <w:p w14:paraId="4AFDD929" w14:textId="384E95BE" w:rsidR="00C94B03" w:rsidRPr="00625DF1" w:rsidRDefault="000513EC" w:rsidP="00B13364">
      <w:pPr>
        <w:pStyle w:val="Default"/>
        <w:numPr>
          <w:ilvl w:val="0"/>
          <w:numId w:val="4"/>
        </w:numPr>
        <w:spacing w:line="276" w:lineRule="auto"/>
        <w:jc w:val="both"/>
        <w:rPr>
          <w:rFonts w:ascii="HelveticaNeueLT Std" w:hAnsi="HelveticaNeueLT Std"/>
          <w:color w:val="auto"/>
          <w:sz w:val="22"/>
          <w:szCs w:val="22"/>
        </w:rPr>
      </w:pPr>
      <w:r w:rsidRPr="00625DF1">
        <w:rPr>
          <w:rFonts w:ascii="HelveticaNeueLT Std" w:hAnsi="HelveticaNeueLT Std"/>
          <w:color w:val="auto"/>
          <w:sz w:val="22"/>
          <w:szCs w:val="22"/>
        </w:rPr>
        <w:t xml:space="preserve">Indicador Trimestral de la Actividad Económica Estatal (ITAEE): </w:t>
      </w:r>
      <w:r w:rsidR="00A66CB9" w:rsidRPr="00625DF1">
        <w:rPr>
          <w:rFonts w:ascii="HelveticaNeueLT Std" w:hAnsi="HelveticaNeueLT Std"/>
          <w:color w:val="auto"/>
          <w:sz w:val="22"/>
          <w:szCs w:val="22"/>
        </w:rPr>
        <w:t xml:space="preserve">Después de una disminución de </w:t>
      </w:r>
      <w:r w:rsidR="00CE2C51" w:rsidRPr="00625DF1">
        <w:rPr>
          <w:rFonts w:ascii="HelveticaNeueLT Std" w:hAnsi="HelveticaNeueLT Std"/>
          <w:color w:val="auto"/>
          <w:sz w:val="22"/>
          <w:szCs w:val="22"/>
        </w:rPr>
        <w:t>16.</w:t>
      </w:r>
      <w:r w:rsidR="00DA6750" w:rsidRPr="00625DF1">
        <w:rPr>
          <w:rFonts w:ascii="HelveticaNeueLT Std" w:hAnsi="HelveticaNeueLT Std"/>
          <w:color w:val="auto"/>
          <w:sz w:val="22"/>
          <w:szCs w:val="22"/>
        </w:rPr>
        <w:t>7</w:t>
      </w:r>
      <w:r w:rsidR="000E1BC7" w:rsidRPr="00625DF1">
        <w:rPr>
          <w:rFonts w:ascii="HelveticaNeueLT Std" w:hAnsi="HelveticaNeueLT Std"/>
          <w:color w:val="auto"/>
          <w:sz w:val="22"/>
          <w:szCs w:val="22"/>
        </w:rPr>
        <w:t xml:space="preserve"> por ciento</w:t>
      </w:r>
      <w:r w:rsidR="00A66CB9" w:rsidRPr="00625DF1">
        <w:rPr>
          <w:rFonts w:ascii="HelveticaNeueLT Std" w:hAnsi="HelveticaNeueLT Std"/>
          <w:color w:val="auto"/>
          <w:sz w:val="22"/>
          <w:szCs w:val="22"/>
        </w:rPr>
        <w:t xml:space="preserve"> </w:t>
      </w:r>
      <w:r w:rsidR="00CE2C51" w:rsidRPr="00625DF1">
        <w:rPr>
          <w:rFonts w:ascii="HelveticaNeueLT Std" w:hAnsi="HelveticaNeueLT Std"/>
          <w:color w:val="auto"/>
          <w:sz w:val="22"/>
          <w:szCs w:val="22"/>
        </w:rPr>
        <w:t xml:space="preserve">anual </w:t>
      </w:r>
      <w:r w:rsidR="00DA6750" w:rsidRPr="00625DF1">
        <w:rPr>
          <w:rFonts w:ascii="HelveticaNeueLT Std" w:hAnsi="HelveticaNeueLT Std"/>
          <w:color w:val="auto"/>
          <w:sz w:val="22"/>
          <w:szCs w:val="22"/>
        </w:rPr>
        <w:t xml:space="preserve">que la economía mexiquense mostró </w:t>
      </w:r>
      <w:r w:rsidR="00A66CB9" w:rsidRPr="00625DF1">
        <w:rPr>
          <w:rFonts w:ascii="HelveticaNeueLT Std" w:hAnsi="HelveticaNeueLT Std"/>
          <w:color w:val="auto"/>
          <w:sz w:val="22"/>
          <w:szCs w:val="22"/>
        </w:rPr>
        <w:t xml:space="preserve">en el </w:t>
      </w:r>
      <w:r w:rsidR="00CE2C51" w:rsidRPr="00625DF1">
        <w:rPr>
          <w:rFonts w:ascii="HelveticaNeueLT Std" w:hAnsi="HelveticaNeueLT Std"/>
          <w:color w:val="auto"/>
          <w:sz w:val="22"/>
          <w:szCs w:val="22"/>
        </w:rPr>
        <w:t>segundo</w:t>
      </w:r>
      <w:r w:rsidR="00A66CB9" w:rsidRPr="00625DF1">
        <w:rPr>
          <w:rFonts w:ascii="HelveticaNeueLT Std" w:hAnsi="HelveticaNeueLT Std"/>
          <w:color w:val="auto"/>
          <w:sz w:val="22"/>
          <w:szCs w:val="22"/>
        </w:rPr>
        <w:t xml:space="preserve"> trimestre</w:t>
      </w:r>
      <w:r w:rsidR="0099347D" w:rsidRPr="00625DF1">
        <w:rPr>
          <w:rFonts w:ascii="HelveticaNeueLT Std" w:hAnsi="HelveticaNeueLT Std"/>
          <w:color w:val="auto"/>
          <w:sz w:val="22"/>
          <w:szCs w:val="22"/>
        </w:rPr>
        <w:t xml:space="preserve"> de 2020</w:t>
      </w:r>
      <w:r w:rsidR="00CE2C51" w:rsidRPr="00625DF1">
        <w:rPr>
          <w:rFonts w:ascii="HelveticaNeueLT Std" w:hAnsi="HelveticaNeueLT Std"/>
          <w:color w:val="auto"/>
          <w:sz w:val="22"/>
          <w:szCs w:val="22"/>
        </w:rPr>
        <w:t xml:space="preserve">, </w:t>
      </w:r>
      <w:r w:rsidR="00DA6750" w:rsidRPr="00625DF1">
        <w:rPr>
          <w:rFonts w:ascii="HelveticaNeueLT Std" w:hAnsi="HelveticaNeueLT Std"/>
          <w:color w:val="auto"/>
          <w:sz w:val="22"/>
          <w:szCs w:val="22"/>
        </w:rPr>
        <w:t xml:space="preserve">el crecimiento promedio anual de los </w:t>
      </w:r>
      <w:r w:rsidR="008C5F29" w:rsidRPr="00625DF1">
        <w:rPr>
          <w:rFonts w:ascii="HelveticaNeueLT Std" w:hAnsi="HelveticaNeueLT Std"/>
          <w:color w:val="auto"/>
          <w:sz w:val="22"/>
          <w:szCs w:val="22"/>
        </w:rPr>
        <w:t>ocho</w:t>
      </w:r>
      <w:r w:rsidR="00DA6750" w:rsidRPr="00625DF1">
        <w:rPr>
          <w:rFonts w:ascii="HelveticaNeueLT Std" w:hAnsi="HelveticaNeueLT Std"/>
          <w:color w:val="auto"/>
          <w:sz w:val="22"/>
          <w:szCs w:val="22"/>
        </w:rPr>
        <w:t xml:space="preserve"> periodos posteriores ha sido superior al promedio nacional</w:t>
      </w:r>
      <w:r w:rsidR="00720218" w:rsidRPr="00625DF1">
        <w:rPr>
          <w:rFonts w:ascii="HelveticaNeueLT Std" w:hAnsi="HelveticaNeueLT Std"/>
          <w:color w:val="auto"/>
          <w:sz w:val="22"/>
          <w:szCs w:val="22"/>
        </w:rPr>
        <w:t xml:space="preserve"> (</w:t>
      </w:r>
      <w:r w:rsidR="00DA6750" w:rsidRPr="00625DF1">
        <w:rPr>
          <w:rFonts w:ascii="HelveticaNeueLT Std" w:hAnsi="HelveticaNeueLT Std"/>
          <w:color w:val="auto"/>
          <w:sz w:val="22"/>
          <w:szCs w:val="22"/>
        </w:rPr>
        <w:t>2.7</w:t>
      </w:r>
      <w:r w:rsidR="00720218" w:rsidRPr="00625DF1">
        <w:rPr>
          <w:rFonts w:ascii="HelveticaNeueLT Std" w:hAnsi="HelveticaNeueLT Std"/>
          <w:color w:val="auto"/>
          <w:sz w:val="22"/>
          <w:szCs w:val="22"/>
        </w:rPr>
        <w:t xml:space="preserve"> contra 2.</w:t>
      </w:r>
      <w:r w:rsidR="00DA6750" w:rsidRPr="00625DF1">
        <w:rPr>
          <w:rFonts w:ascii="HelveticaNeueLT Std" w:hAnsi="HelveticaNeueLT Std"/>
          <w:color w:val="auto"/>
          <w:sz w:val="22"/>
          <w:szCs w:val="22"/>
        </w:rPr>
        <w:t>4</w:t>
      </w:r>
      <w:r w:rsidR="00720218" w:rsidRPr="00625DF1">
        <w:rPr>
          <w:rFonts w:ascii="HelveticaNeueLT Std" w:hAnsi="HelveticaNeueLT Std"/>
          <w:color w:val="auto"/>
          <w:sz w:val="22"/>
          <w:szCs w:val="22"/>
        </w:rPr>
        <w:t xml:space="preserve"> por ciento)</w:t>
      </w:r>
      <w:r w:rsidR="00A66CB9" w:rsidRPr="00625DF1">
        <w:rPr>
          <w:rFonts w:ascii="HelveticaNeueLT Std" w:hAnsi="HelveticaNeueLT Std"/>
          <w:color w:val="auto"/>
          <w:sz w:val="22"/>
          <w:szCs w:val="22"/>
        </w:rPr>
        <w:t>.</w:t>
      </w:r>
      <w:r w:rsidR="00CE2C51" w:rsidRPr="00625DF1">
        <w:rPr>
          <w:rFonts w:ascii="HelveticaNeueLT Std" w:hAnsi="HelveticaNeueLT Std"/>
          <w:color w:val="auto"/>
          <w:sz w:val="22"/>
          <w:szCs w:val="22"/>
        </w:rPr>
        <w:t xml:space="preserve"> </w:t>
      </w:r>
    </w:p>
    <w:p w14:paraId="758CA4BE" w14:textId="77777777" w:rsidR="00225201" w:rsidRPr="00625DF1" w:rsidRDefault="00225201" w:rsidP="00225201">
      <w:pPr>
        <w:pStyle w:val="Default"/>
        <w:spacing w:line="276" w:lineRule="auto"/>
        <w:ind w:left="720"/>
        <w:jc w:val="both"/>
        <w:rPr>
          <w:rFonts w:ascii="HelveticaNeueLT Std" w:hAnsi="HelveticaNeueLT Std"/>
          <w:color w:val="auto"/>
          <w:sz w:val="22"/>
          <w:szCs w:val="22"/>
        </w:rPr>
      </w:pPr>
    </w:p>
    <w:p w14:paraId="760D5E5D" w14:textId="0741239D" w:rsidR="00F760A6" w:rsidRPr="00625DF1" w:rsidRDefault="00A650C5" w:rsidP="00F760A6">
      <w:pPr>
        <w:pStyle w:val="Default"/>
        <w:numPr>
          <w:ilvl w:val="0"/>
          <w:numId w:val="4"/>
        </w:numPr>
        <w:spacing w:line="276" w:lineRule="auto"/>
        <w:jc w:val="both"/>
        <w:rPr>
          <w:rFonts w:ascii="HelveticaNeueLT Std" w:hAnsi="HelveticaNeueLT Std"/>
          <w:color w:val="auto"/>
          <w:sz w:val="22"/>
          <w:szCs w:val="22"/>
        </w:rPr>
      </w:pPr>
      <w:r w:rsidRPr="00625DF1">
        <w:rPr>
          <w:rFonts w:ascii="HelveticaNeueLT Std" w:hAnsi="HelveticaNeueLT Std"/>
          <w:color w:val="auto"/>
          <w:sz w:val="22"/>
          <w:szCs w:val="22"/>
        </w:rPr>
        <w:t xml:space="preserve">Generación de Empleo: De acuerdo con cifras del IMSS, </w:t>
      </w:r>
      <w:r w:rsidR="00D11519" w:rsidRPr="00625DF1">
        <w:rPr>
          <w:rFonts w:ascii="HelveticaNeueLT Std" w:hAnsi="HelveticaNeueLT Std"/>
          <w:color w:val="auto"/>
          <w:sz w:val="22"/>
          <w:szCs w:val="22"/>
        </w:rPr>
        <w:t xml:space="preserve">de enero a </w:t>
      </w:r>
      <w:r w:rsidR="00F91FC8" w:rsidRPr="00625DF1">
        <w:rPr>
          <w:rFonts w:ascii="HelveticaNeueLT Std" w:hAnsi="HelveticaNeueLT Std"/>
          <w:color w:val="auto"/>
          <w:sz w:val="22"/>
          <w:szCs w:val="22"/>
        </w:rPr>
        <w:t>octubre</w:t>
      </w:r>
      <w:r w:rsidR="000A2864" w:rsidRPr="00625DF1">
        <w:rPr>
          <w:rFonts w:ascii="HelveticaNeueLT Std" w:hAnsi="HelveticaNeueLT Std"/>
          <w:color w:val="auto"/>
          <w:sz w:val="22"/>
          <w:szCs w:val="22"/>
        </w:rPr>
        <w:t xml:space="preserve"> </w:t>
      </w:r>
      <w:r w:rsidR="001B3BC9" w:rsidRPr="00625DF1">
        <w:rPr>
          <w:rFonts w:ascii="HelveticaNeueLT Std" w:hAnsi="HelveticaNeueLT Std"/>
          <w:color w:val="auto"/>
          <w:sz w:val="22"/>
          <w:szCs w:val="22"/>
        </w:rPr>
        <w:t>de</w:t>
      </w:r>
      <w:r w:rsidR="00D11519" w:rsidRPr="00625DF1">
        <w:rPr>
          <w:rFonts w:ascii="HelveticaNeueLT Std" w:hAnsi="HelveticaNeueLT Std"/>
          <w:color w:val="auto"/>
          <w:sz w:val="22"/>
          <w:szCs w:val="22"/>
        </w:rPr>
        <w:t xml:space="preserve"> </w:t>
      </w:r>
      <w:r w:rsidR="0013692C" w:rsidRPr="00625DF1">
        <w:rPr>
          <w:rFonts w:ascii="HelveticaNeueLT Std" w:hAnsi="HelveticaNeueLT Std"/>
          <w:color w:val="auto"/>
          <w:sz w:val="22"/>
          <w:szCs w:val="22"/>
        </w:rPr>
        <w:t>2022</w:t>
      </w:r>
      <w:r w:rsidR="00D11519" w:rsidRPr="00625DF1">
        <w:rPr>
          <w:rFonts w:ascii="HelveticaNeueLT Std" w:hAnsi="HelveticaNeueLT Std"/>
          <w:color w:val="auto"/>
          <w:sz w:val="22"/>
          <w:szCs w:val="22"/>
        </w:rPr>
        <w:t>,</w:t>
      </w:r>
      <w:r w:rsidR="00C43D0E" w:rsidRPr="00625DF1">
        <w:rPr>
          <w:rFonts w:ascii="HelveticaNeueLT Std" w:hAnsi="HelveticaNeueLT Std"/>
          <w:color w:val="auto"/>
          <w:sz w:val="22"/>
          <w:szCs w:val="22"/>
        </w:rPr>
        <w:t xml:space="preserve"> e</w:t>
      </w:r>
      <w:r w:rsidR="00114CE8" w:rsidRPr="00625DF1">
        <w:rPr>
          <w:rFonts w:ascii="HelveticaNeueLT Std" w:hAnsi="HelveticaNeueLT Std"/>
          <w:color w:val="auto"/>
          <w:sz w:val="22"/>
          <w:szCs w:val="22"/>
        </w:rPr>
        <w:t>n el</w:t>
      </w:r>
      <w:r w:rsidR="00C43D0E" w:rsidRPr="00625DF1">
        <w:rPr>
          <w:rFonts w:ascii="HelveticaNeueLT Std" w:hAnsi="HelveticaNeueLT Std"/>
          <w:color w:val="auto"/>
          <w:sz w:val="22"/>
          <w:szCs w:val="22"/>
        </w:rPr>
        <w:t xml:space="preserve"> </w:t>
      </w:r>
      <w:r w:rsidRPr="00625DF1">
        <w:rPr>
          <w:rFonts w:ascii="HelveticaNeueLT Std" w:hAnsi="HelveticaNeueLT Std"/>
          <w:color w:val="auto"/>
          <w:sz w:val="22"/>
          <w:szCs w:val="22"/>
        </w:rPr>
        <w:t xml:space="preserve">Estado de México </w:t>
      </w:r>
      <w:r w:rsidR="00114CE8" w:rsidRPr="00625DF1">
        <w:rPr>
          <w:rFonts w:ascii="HelveticaNeueLT Std" w:hAnsi="HelveticaNeueLT Std"/>
          <w:color w:val="auto"/>
          <w:sz w:val="22"/>
          <w:szCs w:val="22"/>
        </w:rPr>
        <w:t xml:space="preserve">se han generado poco </w:t>
      </w:r>
      <w:r w:rsidR="0013692C" w:rsidRPr="00625DF1">
        <w:rPr>
          <w:rFonts w:ascii="HelveticaNeueLT Std" w:hAnsi="HelveticaNeueLT Std"/>
          <w:color w:val="auto"/>
          <w:sz w:val="22"/>
          <w:szCs w:val="22"/>
        </w:rPr>
        <w:t>más</w:t>
      </w:r>
      <w:r w:rsidR="00114CE8" w:rsidRPr="00625DF1">
        <w:rPr>
          <w:rFonts w:ascii="HelveticaNeueLT Std" w:hAnsi="HelveticaNeueLT Std"/>
          <w:color w:val="auto"/>
          <w:sz w:val="22"/>
          <w:szCs w:val="22"/>
        </w:rPr>
        <w:t xml:space="preserve"> de </w:t>
      </w:r>
      <w:r w:rsidR="00EF541C" w:rsidRPr="00625DF1">
        <w:rPr>
          <w:rFonts w:ascii="HelveticaNeueLT Std" w:hAnsi="HelveticaNeueLT Std"/>
          <w:color w:val="auto"/>
          <w:sz w:val="22"/>
          <w:szCs w:val="22"/>
        </w:rPr>
        <w:t>97</w:t>
      </w:r>
      <w:r w:rsidR="00114CE8" w:rsidRPr="00625DF1">
        <w:rPr>
          <w:rFonts w:ascii="HelveticaNeueLT Std" w:hAnsi="HelveticaNeueLT Std"/>
          <w:color w:val="auto"/>
          <w:sz w:val="22"/>
          <w:szCs w:val="22"/>
        </w:rPr>
        <w:t xml:space="preserve"> mil puestos de trabajo, </w:t>
      </w:r>
      <w:r w:rsidR="00047744" w:rsidRPr="00625DF1">
        <w:rPr>
          <w:rFonts w:ascii="HelveticaNeueLT Std" w:hAnsi="HelveticaNeueLT Std"/>
          <w:color w:val="auto"/>
          <w:sz w:val="22"/>
          <w:szCs w:val="22"/>
        </w:rPr>
        <w:t xml:space="preserve">ubicándola como la cuarta </w:t>
      </w:r>
      <w:r w:rsidR="0096635B" w:rsidRPr="00625DF1">
        <w:rPr>
          <w:rFonts w:ascii="HelveticaNeueLT Std" w:hAnsi="HelveticaNeueLT Std"/>
          <w:color w:val="auto"/>
          <w:sz w:val="22"/>
          <w:szCs w:val="22"/>
        </w:rPr>
        <w:t>E</w:t>
      </w:r>
      <w:r w:rsidR="00047744" w:rsidRPr="00625DF1">
        <w:rPr>
          <w:rFonts w:ascii="HelveticaNeueLT Std" w:hAnsi="HelveticaNeueLT Std"/>
          <w:color w:val="auto"/>
          <w:sz w:val="22"/>
          <w:szCs w:val="22"/>
        </w:rPr>
        <w:t>ntidad con mayor número de empleos formales creados</w:t>
      </w:r>
      <w:r w:rsidR="00B1303B" w:rsidRPr="00625DF1">
        <w:rPr>
          <w:rFonts w:ascii="HelveticaNeueLT Std" w:hAnsi="HelveticaNeueLT Std"/>
          <w:color w:val="auto"/>
          <w:sz w:val="22"/>
          <w:szCs w:val="22"/>
        </w:rPr>
        <w:t>.</w:t>
      </w:r>
      <w:r w:rsidR="00F760A6" w:rsidRPr="00625DF1">
        <w:rPr>
          <w:rFonts w:ascii="HelveticaNeueLT Std" w:hAnsi="HelveticaNeueLT Std"/>
          <w:color w:val="auto"/>
          <w:sz w:val="22"/>
          <w:szCs w:val="22"/>
        </w:rPr>
        <w:t xml:space="preserve"> </w:t>
      </w:r>
    </w:p>
    <w:p w14:paraId="1E0CC83B" w14:textId="77777777" w:rsidR="00F0531E" w:rsidRPr="00512318" w:rsidRDefault="00F0531E" w:rsidP="00074AD8">
      <w:pPr>
        <w:rPr>
          <w:sz w:val="12"/>
          <w:szCs w:val="12"/>
        </w:rPr>
      </w:pPr>
    </w:p>
    <w:p w14:paraId="3688BD94" w14:textId="138EE90E" w:rsidR="00A2092E" w:rsidRPr="00625DF1" w:rsidRDefault="003F75E7" w:rsidP="00074AD8">
      <w:pPr>
        <w:rPr>
          <w:sz w:val="22"/>
          <w:szCs w:val="22"/>
        </w:rPr>
      </w:pPr>
      <w:r w:rsidRPr="00625DF1">
        <w:rPr>
          <w:sz w:val="22"/>
          <w:szCs w:val="22"/>
        </w:rPr>
        <w:lastRenderedPageBreak/>
        <w:t xml:space="preserve">Por su parte, </w:t>
      </w:r>
      <w:r w:rsidR="00C57087" w:rsidRPr="00625DF1">
        <w:rPr>
          <w:sz w:val="22"/>
          <w:szCs w:val="22"/>
        </w:rPr>
        <w:t>este avance observado en el mercado laboral y la</w:t>
      </w:r>
      <w:r w:rsidRPr="00625DF1">
        <w:rPr>
          <w:sz w:val="22"/>
          <w:szCs w:val="22"/>
        </w:rPr>
        <w:t xml:space="preserve"> actividad </w:t>
      </w:r>
      <w:r w:rsidR="00C57087" w:rsidRPr="00625DF1">
        <w:rPr>
          <w:sz w:val="22"/>
          <w:szCs w:val="22"/>
        </w:rPr>
        <w:t xml:space="preserve">económica </w:t>
      </w:r>
      <w:r w:rsidR="00A2092E" w:rsidRPr="00625DF1">
        <w:rPr>
          <w:sz w:val="22"/>
          <w:szCs w:val="22"/>
        </w:rPr>
        <w:t xml:space="preserve">se </w:t>
      </w:r>
      <w:r w:rsidR="00C57087" w:rsidRPr="00625DF1">
        <w:rPr>
          <w:sz w:val="22"/>
          <w:szCs w:val="22"/>
        </w:rPr>
        <w:t>refleja</w:t>
      </w:r>
      <w:r w:rsidRPr="00625DF1">
        <w:rPr>
          <w:sz w:val="22"/>
          <w:szCs w:val="22"/>
        </w:rPr>
        <w:t xml:space="preserve"> </w:t>
      </w:r>
      <w:r w:rsidR="00A2092E" w:rsidRPr="00625DF1">
        <w:rPr>
          <w:sz w:val="22"/>
          <w:szCs w:val="22"/>
        </w:rPr>
        <w:t>tanto en los ingresos que parten de recursos federalizados, como en aquellos</w:t>
      </w:r>
      <w:r w:rsidRPr="00625DF1">
        <w:rPr>
          <w:sz w:val="22"/>
          <w:szCs w:val="22"/>
        </w:rPr>
        <w:t xml:space="preserve"> </w:t>
      </w:r>
      <w:r w:rsidR="00A2092E" w:rsidRPr="00625DF1">
        <w:rPr>
          <w:sz w:val="22"/>
          <w:szCs w:val="22"/>
        </w:rPr>
        <w:t>que recauda directamente el Gobierno del Estado de México.</w:t>
      </w:r>
    </w:p>
    <w:p w14:paraId="6E466496" w14:textId="77777777" w:rsidR="00A2092E" w:rsidRPr="004A0A01" w:rsidRDefault="00A2092E" w:rsidP="00074AD8">
      <w:pPr>
        <w:rPr>
          <w:color w:val="BFBFBF" w:themeColor="background1" w:themeShade="BF"/>
          <w:sz w:val="18"/>
          <w:szCs w:val="18"/>
        </w:rPr>
      </w:pPr>
    </w:p>
    <w:p w14:paraId="513BE993" w14:textId="7DCAE2C2" w:rsidR="00CB04CD" w:rsidRPr="00625DF1" w:rsidRDefault="00CB04CD" w:rsidP="00CB04CD">
      <w:pPr>
        <w:pStyle w:val="Default"/>
        <w:numPr>
          <w:ilvl w:val="0"/>
          <w:numId w:val="37"/>
        </w:numPr>
        <w:spacing w:line="276" w:lineRule="auto"/>
        <w:jc w:val="both"/>
        <w:rPr>
          <w:rFonts w:ascii="HelveticaNeueLT Std" w:hAnsi="HelveticaNeueLT Std"/>
          <w:color w:val="auto"/>
          <w:sz w:val="22"/>
          <w:szCs w:val="22"/>
        </w:rPr>
      </w:pPr>
      <w:r w:rsidRPr="00625DF1">
        <w:rPr>
          <w:rFonts w:ascii="HelveticaNeueLT Std" w:hAnsi="HelveticaNeueLT Std"/>
          <w:color w:val="auto"/>
          <w:sz w:val="22"/>
          <w:szCs w:val="22"/>
        </w:rPr>
        <w:t xml:space="preserve">Participaciones Federales: Al mes de octubre </w:t>
      </w:r>
      <w:r w:rsidR="001B6633" w:rsidRPr="00625DF1">
        <w:rPr>
          <w:rFonts w:ascii="HelveticaNeueLT Std" w:hAnsi="HelveticaNeueLT Std"/>
          <w:color w:val="auto"/>
          <w:sz w:val="22"/>
          <w:szCs w:val="22"/>
        </w:rPr>
        <w:t xml:space="preserve">de 2022, </w:t>
      </w:r>
      <w:r w:rsidRPr="00625DF1">
        <w:rPr>
          <w:rFonts w:ascii="HelveticaNeueLT Std" w:hAnsi="HelveticaNeueLT Std"/>
          <w:color w:val="auto"/>
          <w:sz w:val="22"/>
          <w:szCs w:val="22"/>
        </w:rPr>
        <w:t xml:space="preserve">las participaciones nacionales muestran un comportamiento favorable con un incremento de poco más de 19 mil millones de pesos respecto a lo estimado por la Secretaría de Hacienda y Crédito Público. Dicho aumento impactó de forma positiva las finanzas del Estado de México en </w:t>
      </w:r>
      <w:r w:rsidRPr="00625DF1">
        <w:rPr>
          <w:rFonts w:ascii="HelveticaNeueLT Std" w:hAnsi="HelveticaNeueLT Std" w:cs="Arial"/>
          <w:color w:val="auto"/>
          <w:sz w:val="22"/>
          <w:szCs w:val="22"/>
        </w:rPr>
        <w:t>alrededor de</w:t>
      </w:r>
      <w:r w:rsidRPr="00625DF1">
        <w:rPr>
          <w:rFonts w:ascii="HelveticaNeueLT Std" w:hAnsi="HelveticaNeueLT Std"/>
          <w:color w:val="auto"/>
          <w:sz w:val="22"/>
          <w:szCs w:val="22"/>
        </w:rPr>
        <w:t xml:space="preserve"> 3</w:t>
      </w:r>
      <w:r w:rsidR="002539E9" w:rsidRPr="00625DF1">
        <w:rPr>
          <w:rFonts w:ascii="HelveticaNeueLT Std" w:hAnsi="HelveticaNeueLT Std"/>
          <w:color w:val="auto"/>
          <w:sz w:val="22"/>
          <w:szCs w:val="22"/>
        </w:rPr>
        <w:t xml:space="preserve"> mil </w:t>
      </w:r>
      <w:r w:rsidRPr="00625DF1">
        <w:rPr>
          <w:rFonts w:ascii="HelveticaNeueLT Std" w:hAnsi="HelveticaNeueLT Std"/>
          <w:color w:val="auto"/>
          <w:sz w:val="22"/>
          <w:szCs w:val="22"/>
        </w:rPr>
        <w:t>500 millones de pesos.</w:t>
      </w:r>
    </w:p>
    <w:p w14:paraId="027C8785" w14:textId="77777777" w:rsidR="00CB04CD" w:rsidRPr="004A0A01" w:rsidRDefault="00CB04CD" w:rsidP="00CB04CD">
      <w:pPr>
        <w:pStyle w:val="Default"/>
        <w:spacing w:line="276" w:lineRule="auto"/>
        <w:ind w:left="720"/>
        <w:jc w:val="both"/>
        <w:rPr>
          <w:rFonts w:ascii="HelveticaNeueLT Std" w:hAnsi="HelveticaNeueLT Std"/>
          <w:color w:val="auto"/>
          <w:sz w:val="18"/>
          <w:szCs w:val="18"/>
        </w:rPr>
      </w:pPr>
    </w:p>
    <w:p w14:paraId="7E67A7FE" w14:textId="5F182C80" w:rsidR="00CB04CD" w:rsidRPr="00625DF1" w:rsidRDefault="00CB04CD" w:rsidP="00CB04CD">
      <w:pPr>
        <w:pStyle w:val="Default"/>
        <w:spacing w:line="276" w:lineRule="auto"/>
        <w:ind w:left="720"/>
        <w:jc w:val="both"/>
        <w:rPr>
          <w:rFonts w:ascii="HelveticaNeueLT Std" w:hAnsi="HelveticaNeueLT Std"/>
          <w:color w:val="auto"/>
          <w:sz w:val="22"/>
          <w:szCs w:val="22"/>
        </w:rPr>
      </w:pPr>
      <w:r w:rsidRPr="00625DF1">
        <w:rPr>
          <w:rFonts w:ascii="HelveticaNeueLT Std" w:hAnsi="HelveticaNeueLT Std"/>
          <w:color w:val="auto"/>
          <w:sz w:val="22"/>
          <w:szCs w:val="22"/>
        </w:rPr>
        <w:t>Con respecto a lo observado en el mismo periodo de 2021, el crecimiento nacional es de poco más de 103 mil millones de pesos, lo cual</w:t>
      </w:r>
      <w:r w:rsidR="00E635A6" w:rsidRPr="00625DF1">
        <w:rPr>
          <w:rFonts w:ascii="HelveticaNeueLT Std" w:hAnsi="HelveticaNeueLT Std"/>
          <w:color w:val="auto"/>
          <w:sz w:val="22"/>
          <w:szCs w:val="22"/>
        </w:rPr>
        <w:t>,</w:t>
      </w:r>
      <w:r w:rsidRPr="00625DF1">
        <w:rPr>
          <w:rFonts w:ascii="HelveticaNeueLT Std" w:hAnsi="HelveticaNeueLT Std"/>
          <w:color w:val="auto"/>
          <w:sz w:val="22"/>
          <w:szCs w:val="22"/>
        </w:rPr>
        <w:t xml:space="preserve"> coloca a la </w:t>
      </w:r>
      <w:r w:rsidR="00403E4A" w:rsidRPr="00625DF1">
        <w:rPr>
          <w:rFonts w:ascii="HelveticaNeueLT Std" w:hAnsi="HelveticaNeueLT Std"/>
          <w:color w:val="auto"/>
          <w:sz w:val="22"/>
          <w:szCs w:val="22"/>
        </w:rPr>
        <w:t>E</w:t>
      </w:r>
      <w:r w:rsidRPr="00625DF1">
        <w:rPr>
          <w:rFonts w:ascii="HelveticaNeueLT Std" w:hAnsi="HelveticaNeueLT Std"/>
          <w:color w:val="auto"/>
          <w:sz w:val="22"/>
          <w:szCs w:val="22"/>
        </w:rPr>
        <w:t xml:space="preserve">ntidad como la primera con mayor crecimiento con respecto al ejercicio fiscal previo con un incremento cercano a los 14,500 </w:t>
      </w:r>
      <w:r w:rsidR="003A691E" w:rsidRPr="00625DF1">
        <w:rPr>
          <w:rFonts w:ascii="HelveticaNeueLT Std" w:hAnsi="HelveticaNeueLT Std"/>
          <w:color w:val="auto"/>
          <w:sz w:val="22"/>
          <w:szCs w:val="22"/>
        </w:rPr>
        <w:t>millones de pesos</w:t>
      </w:r>
      <w:r w:rsidRPr="00625DF1">
        <w:rPr>
          <w:rFonts w:ascii="HelveticaNeueLT Std" w:hAnsi="HelveticaNeueLT Std"/>
          <w:color w:val="auto"/>
          <w:sz w:val="22"/>
          <w:szCs w:val="22"/>
        </w:rPr>
        <w:t>.</w:t>
      </w:r>
    </w:p>
    <w:p w14:paraId="69A4C1B2" w14:textId="77777777" w:rsidR="00CB04CD" w:rsidRPr="004A0A01" w:rsidRDefault="00CB04CD" w:rsidP="00CB04CD">
      <w:pPr>
        <w:pStyle w:val="Default"/>
        <w:spacing w:line="276" w:lineRule="auto"/>
        <w:ind w:left="720"/>
        <w:jc w:val="both"/>
        <w:rPr>
          <w:rFonts w:ascii="HelveticaNeueLT Std" w:hAnsi="HelveticaNeueLT Std"/>
          <w:color w:val="auto"/>
          <w:sz w:val="18"/>
          <w:szCs w:val="18"/>
        </w:rPr>
      </w:pPr>
    </w:p>
    <w:p w14:paraId="70A7B555" w14:textId="412513F0" w:rsidR="00CB04CD" w:rsidRPr="00625DF1" w:rsidRDefault="00CB04CD" w:rsidP="00CB04CD">
      <w:pPr>
        <w:pStyle w:val="Default"/>
        <w:numPr>
          <w:ilvl w:val="0"/>
          <w:numId w:val="37"/>
        </w:numPr>
        <w:spacing w:line="276" w:lineRule="auto"/>
        <w:jc w:val="both"/>
        <w:rPr>
          <w:rFonts w:ascii="HelveticaNeueLT Std" w:hAnsi="HelveticaNeueLT Std"/>
          <w:color w:val="auto"/>
          <w:sz w:val="22"/>
          <w:szCs w:val="22"/>
        </w:rPr>
      </w:pPr>
      <w:r w:rsidRPr="00625DF1">
        <w:rPr>
          <w:rFonts w:ascii="HelveticaNeueLT Std" w:hAnsi="HelveticaNeueLT Std"/>
          <w:color w:val="auto"/>
          <w:sz w:val="22"/>
          <w:szCs w:val="22"/>
        </w:rPr>
        <w:t xml:space="preserve">Aportaciones </w:t>
      </w:r>
      <w:r w:rsidR="00366D85" w:rsidRPr="00625DF1">
        <w:rPr>
          <w:rFonts w:ascii="HelveticaNeueLT Std" w:hAnsi="HelveticaNeueLT Std"/>
          <w:color w:val="auto"/>
          <w:sz w:val="22"/>
          <w:szCs w:val="22"/>
        </w:rPr>
        <w:t>Nacionales</w:t>
      </w:r>
      <w:r w:rsidRPr="00625DF1">
        <w:rPr>
          <w:rFonts w:ascii="HelveticaNeueLT Std" w:hAnsi="HelveticaNeueLT Std"/>
          <w:color w:val="auto"/>
          <w:sz w:val="22"/>
          <w:szCs w:val="22"/>
        </w:rPr>
        <w:t xml:space="preserve">: Al mes de septiembre </w:t>
      </w:r>
      <w:r w:rsidR="001B6633" w:rsidRPr="00625DF1">
        <w:rPr>
          <w:rFonts w:ascii="HelveticaNeueLT Std" w:hAnsi="HelveticaNeueLT Std"/>
          <w:color w:val="auto"/>
          <w:sz w:val="22"/>
          <w:szCs w:val="22"/>
        </w:rPr>
        <w:t>de 2022,</w:t>
      </w:r>
      <w:r w:rsidR="001002F7" w:rsidRPr="00625DF1">
        <w:rPr>
          <w:rFonts w:ascii="HelveticaNeueLT Std" w:hAnsi="HelveticaNeueLT Std"/>
          <w:color w:val="auto"/>
          <w:sz w:val="22"/>
          <w:szCs w:val="22"/>
        </w:rPr>
        <w:t xml:space="preserve"> las</w:t>
      </w:r>
      <w:r w:rsidR="001B6633" w:rsidRPr="00625DF1">
        <w:rPr>
          <w:rFonts w:ascii="HelveticaNeueLT Std" w:hAnsi="HelveticaNeueLT Std"/>
          <w:color w:val="auto"/>
          <w:sz w:val="22"/>
          <w:szCs w:val="22"/>
        </w:rPr>
        <w:t xml:space="preserve"> </w:t>
      </w:r>
      <w:r w:rsidRPr="00625DF1">
        <w:rPr>
          <w:rFonts w:ascii="HelveticaNeueLT Std" w:hAnsi="HelveticaNeueLT Std"/>
          <w:color w:val="auto"/>
          <w:sz w:val="22"/>
          <w:szCs w:val="22"/>
        </w:rPr>
        <w:t>aportaciones nacionales presentaron un crecimiento de 46 mil 444 millones de pesos respecto a lo que se observó para el mismo periodo de 2021. Para el caso del Estado de México, el crecimiento fue cercano a los 4 mil 600 millones de pesos.</w:t>
      </w:r>
    </w:p>
    <w:p w14:paraId="6CE47EC1" w14:textId="77777777" w:rsidR="00CB04CD" w:rsidRPr="004A0A01" w:rsidRDefault="00CB04CD" w:rsidP="00CB04CD">
      <w:pPr>
        <w:ind w:left="360"/>
        <w:rPr>
          <w:color w:val="BFBFBF" w:themeColor="background1" w:themeShade="BF"/>
          <w:sz w:val="18"/>
          <w:szCs w:val="18"/>
        </w:rPr>
      </w:pPr>
    </w:p>
    <w:p w14:paraId="14DF9C24" w14:textId="0FB374A4" w:rsidR="00CB04CD" w:rsidRPr="00625DF1" w:rsidRDefault="00CB04CD" w:rsidP="00CB04CD">
      <w:pPr>
        <w:pStyle w:val="Default"/>
        <w:numPr>
          <w:ilvl w:val="0"/>
          <w:numId w:val="37"/>
        </w:numPr>
        <w:spacing w:line="276" w:lineRule="auto"/>
        <w:jc w:val="both"/>
        <w:rPr>
          <w:rFonts w:ascii="HelveticaNeueLT Std" w:hAnsi="HelveticaNeueLT Std"/>
          <w:color w:val="auto"/>
          <w:sz w:val="22"/>
          <w:szCs w:val="22"/>
        </w:rPr>
      </w:pPr>
      <w:r w:rsidRPr="00625DF1">
        <w:rPr>
          <w:rFonts w:ascii="HelveticaNeueLT Std" w:hAnsi="HelveticaNeueLT Std"/>
          <w:color w:val="auto"/>
          <w:sz w:val="22"/>
          <w:szCs w:val="22"/>
        </w:rPr>
        <w:t xml:space="preserve">Ingresos propios: Dentro de los recursos recaudados directamente por el Gobierno del Estado de México, de enero a octubre </w:t>
      </w:r>
      <w:r w:rsidR="001B6633" w:rsidRPr="00625DF1">
        <w:rPr>
          <w:rFonts w:ascii="HelveticaNeueLT Std" w:hAnsi="HelveticaNeueLT Std"/>
          <w:color w:val="auto"/>
          <w:sz w:val="22"/>
          <w:szCs w:val="22"/>
        </w:rPr>
        <w:t xml:space="preserve">de 2022 </w:t>
      </w:r>
      <w:r w:rsidRPr="00625DF1">
        <w:rPr>
          <w:rFonts w:ascii="HelveticaNeueLT Std" w:hAnsi="HelveticaNeueLT Std"/>
          <w:color w:val="auto"/>
          <w:sz w:val="22"/>
          <w:szCs w:val="22"/>
        </w:rPr>
        <w:t xml:space="preserve">se ha logrado obtener recursos adicionales por 2,458 </w:t>
      </w:r>
      <w:r w:rsidR="003A691E" w:rsidRPr="00625DF1">
        <w:rPr>
          <w:rFonts w:ascii="HelveticaNeueLT Std" w:hAnsi="HelveticaNeueLT Std"/>
          <w:color w:val="auto"/>
          <w:sz w:val="22"/>
          <w:szCs w:val="22"/>
        </w:rPr>
        <w:t>millones de pesos</w:t>
      </w:r>
      <w:r w:rsidRPr="00625DF1">
        <w:rPr>
          <w:rFonts w:ascii="HelveticaNeueLT Std" w:hAnsi="HelveticaNeueLT Std"/>
          <w:color w:val="auto"/>
          <w:sz w:val="22"/>
          <w:szCs w:val="22"/>
        </w:rPr>
        <w:t xml:space="preserve"> respecto a lo programado. En particular</w:t>
      </w:r>
      <w:r w:rsidR="00403E4A" w:rsidRPr="00625DF1">
        <w:rPr>
          <w:rFonts w:ascii="HelveticaNeueLT Std" w:hAnsi="HelveticaNeueLT Std"/>
          <w:color w:val="auto"/>
          <w:sz w:val="22"/>
          <w:szCs w:val="22"/>
        </w:rPr>
        <w:t>,</w:t>
      </w:r>
      <w:r w:rsidRPr="00625DF1">
        <w:rPr>
          <w:rFonts w:ascii="HelveticaNeueLT Std" w:hAnsi="HelveticaNeueLT Std"/>
          <w:color w:val="auto"/>
          <w:sz w:val="22"/>
          <w:szCs w:val="22"/>
        </w:rPr>
        <w:t xml:space="preserve"> la recaudación de impuestos ha sido mayor en 6.3 por ciento, significando un incremento de ingresos equivalente a 1,287 millones de pesos.</w:t>
      </w:r>
    </w:p>
    <w:p w14:paraId="76A349CF" w14:textId="77777777" w:rsidR="00C94B03" w:rsidRPr="004A0A01" w:rsidRDefault="00C94B03" w:rsidP="00721D55">
      <w:pPr>
        <w:pStyle w:val="Default"/>
        <w:spacing w:line="276" w:lineRule="auto"/>
        <w:ind w:left="720"/>
        <w:jc w:val="both"/>
        <w:rPr>
          <w:rFonts w:ascii="HelveticaNeueLT Std" w:hAnsi="HelveticaNeueLT Std"/>
          <w:color w:val="BFBFBF" w:themeColor="background1" w:themeShade="BF"/>
          <w:sz w:val="18"/>
          <w:szCs w:val="18"/>
        </w:rPr>
      </w:pPr>
    </w:p>
    <w:p w14:paraId="4CB4D049" w14:textId="728E65A8" w:rsidR="000513EC" w:rsidRPr="00625DF1" w:rsidRDefault="005D1FFA" w:rsidP="004A0A01">
      <w:pPr>
        <w:pStyle w:val="Default"/>
        <w:spacing w:after="140" w:line="276" w:lineRule="auto"/>
        <w:jc w:val="both"/>
        <w:rPr>
          <w:rFonts w:ascii="HelveticaNeueLT Std" w:hAnsi="HelveticaNeueLT Std"/>
          <w:color w:val="auto"/>
          <w:sz w:val="22"/>
          <w:szCs w:val="22"/>
        </w:rPr>
      </w:pPr>
      <w:r w:rsidRPr="00625DF1">
        <w:rPr>
          <w:rFonts w:ascii="HelveticaNeueLT Std" w:hAnsi="HelveticaNeueLT Std"/>
          <w:color w:val="auto"/>
          <w:sz w:val="22"/>
          <w:szCs w:val="22"/>
        </w:rPr>
        <w:t>De esta manera</w:t>
      </w:r>
      <w:r w:rsidR="001B6633" w:rsidRPr="00625DF1">
        <w:rPr>
          <w:rFonts w:ascii="HelveticaNeueLT Std" w:hAnsi="HelveticaNeueLT Std"/>
          <w:color w:val="auto"/>
          <w:sz w:val="22"/>
          <w:szCs w:val="22"/>
        </w:rPr>
        <w:t xml:space="preserve">, </w:t>
      </w:r>
      <w:r w:rsidR="000513EC" w:rsidRPr="00625DF1">
        <w:rPr>
          <w:rFonts w:ascii="HelveticaNeueLT Std" w:hAnsi="HelveticaNeueLT Std"/>
          <w:color w:val="auto"/>
          <w:sz w:val="22"/>
          <w:szCs w:val="22"/>
        </w:rPr>
        <w:t xml:space="preserve">resulta importante </w:t>
      </w:r>
      <w:r w:rsidR="00F46864" w:rsidRPr="00625DF1">
        <w:rPr>
          <w:rFonts w:ascii="HelveticaNeueLT Std" w:hAnsi="HelveticaNeueLT Std"/>
          <w:color w:val="auto"/>
          <w:sz w:val="22"/>
          <w:szCs w:val="22"/>
        </w:rPr>
        <w:t>mantener</w:t>
      </w:r>
      <w:r w:rsidR="000513EC" w:rsidRPr="00625DF1">
        <w:rPr>
          <w:rFonts w:ascii="HelveticaNeueLT Std" w:hAnsi="HelveticaNeueLT Std"/>
          <w:color w:val="auto"/>
          <w:sz w:val="22"/>
          <w:szCs w:val="22"/>
        </w:rPr>
        <w:t xml:space="preserve"> acciones</w:t>
      </w:r>
      <w:r w:rsidR="001B6633" w:rsidRPr="00625DF1">
        <w:rPr>
          <w:rFonts w:ascii="HelveticaNeueLT Std" w:hAnsi="HelveticaNeueLT Std"/>
          <w:color w:val="auto"/>
          <w:sz w:val="22"/>
          <w:szCs w:val="22"/>
        </w:rPr>
        <w:t xml:space="preserve"> </w:t>
      </w:r>
      <w:r w:rsidRPr="00625DF1">
        <w:rPr>
          <w:rFonts w:ascii="HelveticaNeueLT Std" w:hAnsi="HelveticaNeueLT Std"/>
          <w:color w:val="auto"/>
          <w:sz w:val="22"/>
          <w:szCs w:val="22"/>
        </w:rPr>
        <w:t>para continuar con el proceso de recuperación y</w:t>
      </w:r>
      <w:r w:rsidR="00E6260F" w:rsidRPr="00625DF1">
        <w:rPr>
          <w:rFonts w:ascii="HelveticaNeueLT Std" w:hAnsi="HelveticaNeueLT Std"/>
          <w:color w:val="auto"/>
          <w:sz w:val="22"/>
          <w:szCs w:val="22"/>
        </w:rPr>
        <w:t xml:space="preserve"> hacer</w:t>
      </w:r>
      <w:r w:rsidRPr="00625DF1">
        <w:rPr>
          <w:rFonts w:ascii="HelveticaNeueLT Std" w:hAnsi="HelveticaNeueLT Std"/>
          <w:color w:val="auto"/>
          <w:sz w:val="22"/>
          <w:szCs w:val="22"/>
        </w:rPr>
        <w:t xml:space="preserve"> valer las condiciones macroeconómicas favorables que se han </w:t>
      </w:r>
      <w:r w:rsidR="006C6976" w:rsidRPr="00625DF1">
        <w:rPr>
          <w:rFonts w:ascii="HelveticaNeueLT Std" w:hAnsi="HelveticaNeueLT Std"/>
          <w:color w:val="auto"/>
          <w:sz w:val="22"/>
          <w:szCs w:val="22"/>
        </w:rPr>
        <w:t>presentado durante 2022</w:t>
      </w:r>
      <w:r w:rsidRPr="00625DF1">
        <w:rPr>
          <w:rFonts w:ascii="HelveticaNeueLT Std" w:hAnsi="HelveticaNeueLT Std"/>
          <w:color w:val="auto"/>
          <w:sz w:val="22"/>
          <w:szCs w:val="22"/>
        </w:rPr>
        <w:t>.</w:t>
      </w:r>
      <w:r w:rsidR="000513EC" w:rsidRPr="00625DF1">
        <w:rPr>
          <w:rFonts w:ascii="HelveticaNeueLT Std" w:hAnsi="HelveticaNeueLT Std"/>
          <w:color w:val="auto"/>
          <w:sz w:val="22"/>
          <w:szCs w:val="22"/>
        </w:rPr>
        <w:t xml:space="preserve"> </w:t>
      </w:r>
      <w:r w:rsidR="00E6260F" w:rsidRPr="00625DF1">
        <w:rPr>
          <w:rFonts w:ascii="HelveticaNeueLT Std" w:hAnsi="HelveticaNeueLT Std"/>
          <w:color w:val="auto"/>
          <w:sz w:val="22"/>
          <w:szCs w:val="22"/>
        </w:rPr>
        <w:t>Por</w:t>
      </w:r>
      <w:r w:rsidRPr="00625DF1">
        <w:rPr>
          <w:rFonts w:ascii="HelveticaNeueLT Std" w:hAnsi="HelveticaNeueLT Std"/>
          <w:color w:val="auto"/>
          <w:sz w:val="22"/>
          <w:szCs w:val="22"/>
        </w:rPr>
        <w:t xml:space="preserve"> ello,</w:t>
      </w:r>
      <w:r w:rsidR="00843CEC" w:rsidRPr="00625DF1">
        <w:rPr>
          <w:rFonts w:ascii="HelveticaNeueLT Std" w:hAnsi="HelveticaNeueLT Std" w:cs="Arial"/>
          <w:color w:val="auto"/>
          <w:sz w:val="22"/>
          <w:szCs w:val="22"/>
        </w:rPr>
        <w:t xml:space="preserve"> mediante esta I</w:t>
      </w:r>
      <w:r w:rsidR="00B1630D" w:rsidRPr="00625DF1">
        <w:rPr>
          <w:rFonts w:ascii="HelveticaNeueLT Std" w:hAnsi="HelveticaNeueLT Std" w:cs="Arial"/>
          <w:color w:val="auto"/>
          <w:sz w:val="22"/>
          <w:szCs w:val="22"/>
        </w:rPr>
        <w:t>niciativa</w:t>
      </w:r>
      <w:r w:rsidR="000513EC" w:rsidRPr="00625DF1">
        <w:rPr>
          <w:rFonts w:ascii="HelveticaNeueLT Std" w:hAnsi="HelveticaNeueLT Std"/>
          <w:color w:val="auto"/>
          <w:sz w:val="22"/>
          <w:szCs w:val="22"/>
        </w:rPr>
        <w:t xml:space="preserve"> se propone una Ley de Ingresos que contiene una estimación prudente y responsable respecto a los recursos que se p</w:t>
      </w:r>
      <w:r w:rsidR="00A90634" w:rsidRPr="00625DF1">
        <w:rPr>
          <w:rFonts w:ascii="HelveticaNeueLT Std" w:hAnsi="HelveticaNeueLT Std"/>
          <w:color w:val="auto"/>
          <w:sz w:val="22"/>
          <w:szCs w:val="22"/>
        </w:rPr>
        <w:t>retenden obtener el próximo año</w:t>
      </w:r>
      <w:r w:rsidR="00843CEC" w:rsidRPr="00625DF1">
        <w:rPr>
          <w:rFonts w:ascii="HelveticaNeueLT Std" w:hAnsi="HelveticaNeueLT Std"/>
          <w:color w:val="auto"/>
          <w:sz w:val="22"/>
          <w:szCs w:val="22"/>
        </w:rPr>
        <w:t>,</w:t>
      </w:r>
      <w:r w:rsidR="000513EC" w:rsidRPr="00625DF1">
        <w:rPr>
          <w:rFonts w:ascii="HelveticaNeueLT Std" w:hAnsi="HelveticaNeueLT Std"/>
          <w:color w:val="auto"/>
          <w:sz w:val="22"/>
          <w:szCs w:val="22"/>
        </w:rPr>
        <w:t xml:space="preserve"> obligando al Estado</w:t>
      </w:r>
      <w:r w:rsidR="000513EC" w:rsidRPr="00625DF1">
        <w:rPr>
          <w:rFonts w:ascii="HelveticaNeueLT Std" w:hAnsi="HelveticaNeueLT Std" w:cs="Arial"/>
          <w:color w:val="auto"/>
          <w:sz w:val="22"/>
          <w:szCs w:val="22"/>
        </w:rPr>
        <w:t xml:space="preserve"> </w:t>
      </w:r>
      <w:r w:rsidR="00B1630D" w:rsidRPr="00625DF1">
        <w:rPr>
          <w:rFonts w:ascii="HelveticaNeueLT Std" w:hAnsi="HelveticaNeueLT Std" w:cs="Arial"/>
          <w:color w:val="auto"/>
          <w:sz w:val="22"/>
          <w:szCs w:val="22"/>
        </w:rPr>
        <w:t>a</w:t>
      </w:r>
      <w:r w:rsidR="00B1630D" w:rsidRPr="00625DF1">
        <w:rPr>
          <w:rFonts w:ascii="HelveticaNeueLT Std" w:hAnsi="HelveticaNeueLT Std"/>
          <w:color w:val="auto"/>
          <w:sz w:val="22"/>
          <w:szCs w:val="22"/>
        </w:rPr>
        <w:t xml:space="preserve"> </w:t>
      </w:r>
      <w:r w:rsidR="000513EC" w:rsidRPr="00625DF1">
        <w:rPr>
          <w:rFonts w:ascii="HelveticaNeueLT Std" w:hAnsi="HelveticaNeueLT Std"/>
          <w:color w:val="auto"/>
          <w:sz w:val="22"/>
          <w:szCs w:val="22"/>
        </w:rPr>
        <w:t>hacer más con menos, siendo</w:t>
      </w:r>
      <w:r w:rsidR="001B6633" w:rsidRPr="00625DF1">
        <w:rPr>
          <w:rFonts w:ascii="HelveticaNeueLT Std" w:hAnsi="HelveticaNeueLT Std"/>
          <w:color w:val="auto"/>
          <w:sz w:val="22"/>
          <w:szCs w:val="22"/>
        </w:rPr>
        <w:t xml:space="preserve"> </w:t>
      </w:r>
      <w:r w:rsidR="000513EC" w:rsidRPr="00625DF1">
        <w:rPr>
          <w:rFonts w:ascii="HelveticaNeueLT Std" w:hAnsi="HelveticaNeueLT Std"/>
          <w:color w:val="auto"/>
          <w:sz w:val="22"/>
          <w:szCs w:val="22"/>
        </w:rPr>
        <w:t>eficiente en la recaudación local</w:t>
      </w:r>
      <w:r w:rsidR="00152B92" w:rsidRPr="00625DF1">
        <w:rPr>
          <w:rFonts w:ascii="HelveticaNeueLT Std" w:hAnsi="HelveticaNeueLT Std"/>
          <w:color w:val="auto"/>
          <w:sz w:val="22"/>
          <w:szCs w:val="22"/>
        </w:rPr>
        <w:t>.</w:t>
      </w:r>
    </w:p>
    <w:p w14:paraId="60DAFD42" w14:textId="2C7841DE" w:rsidR="000513EC" w:rsidRPr="00625DF1" w:rsidRDefault="000513EC" w:rsidP="006732B9">
      <w:pPr>
        <w:pStyle w:val="Ttulo2"/>
        <w:spacing w:before="0"/>
        <w:rPr>
          <w:b/>
          <w:bCs/>
          <w:sz w:val="22"/>
          <w:szCs w:val="22"/>
        </w:rPr>
      </w:pPr>
      <w:r w:rsidRPr="00625DF1">
        <w:rPr>
          <w:b/>
          <w:bCs/>
          <w:sz w:val="22"/>
          <w:szCs w:val="22"/>
        </w:rPr>
        <w:t xml:space="preserve">Pronósticos de </w:t>
      </w:r>
      <w:r w:rsidR="001B6633" w:rsidRPr="00625DF1">
        <w:rPr>
          <w:b/>
          <w:bCs/>
          <w:sz w:val="22"/>
          <w:szCs w:val="22"/>
        </w:rPr>
        <w:t>I</w:t>
      </w:r>
      <w:r w:rsidRPr="00625DF1">
        <w:rPr>
          <w:b/>
          <w:bCs/>
          <w:sz w:val="22"/>
          <w:szCs w:val="22"/>
        </w:rPr>
        <w:t>ngresos</w:t>
      </w:r>
    </w:p>
    <w:p w14:paraId="4C32B6C6" w14:textId="77777777" w:rsidR="00721D55" w:rsidRPr="004A0A01" w:rsidRDefault="00721D55" w:rsidP="00074AD8">
      <w:pPr>
        <w:rPr>
          <w:sz w:val="18"/>
          <w:szCs w:val="18"/>
        </w:rPr>
      </w:pPr>
    </w:p>
    <w:p w14:paraId="6E3F80DE" w14:textId="52D0993A" w:rsidR="000513EC" w:rsidRPr="00625DF1" w:rsidRDefault="009E094B" w:rsidP="00074AD8">
      <w:pPr>
        <w:rPr>
          <w:sz w:val="22"/>
          <w:szCs w:val="22"/>
        </w:rPr>
      </w:pPr>
      <w:r w:rsidRPr="00625DF1">
        <w:rPr>
          <w:sz w:val="22"/>
          <w:szCs w:val="22"/>
        </w:rPr>
        <w:t>En correspondencia</w:t>
      </w:r>
      <w:r w:rsidR="000513EC" w:rsidRPr="00625DF1">
        <w:rPr>
          <w:sz w:val="22"/>
          <w:szCs w:val="22"/>
        </w:rPr>
        <w:t xml:space="preserve"> </w:t>
      </w:r>
      <w:r w:rsidR="00C76110" w:rsidRPr="00625DF1">
        <w:rPr>
          <w:sz w:val="22"/>
          <w:szCs w:val="22"/>
        </w:rPr>
        <w:t>con el</w:t>
      </w:r>
      <w:r w:rsidR="000513EC" w:rsidRPr="00625DF1">
        <w:rPr>
          <w:sz w:val="22"/>
          <w:szCs w:val="22"/>
        </w:rPr>
        <w:t xml:space="preserve"> </w:t>
      </w:r>
      <w:r w:rsidR="00B1630D" w:rsidRPr="00625DF1">
        <w:rPr>
          <w:sz w:val="22"/>
          <w:szCs w:val="22"/>
        </w:rPr>
        <w:t xml:space="preserve">primer y segundo párrafo de la fracción II del artículo 5 </w:t>
      </w:r>
      <w:r w:rsidR="000513EC" w:rsidRPr="00625DF1">
        <w:rPr>
          <w:sz w:val="22"/>
          <w:szCs w:val="22"/>
        </w:rPr>
        <w:t>de la Ley de Disciplina Financiera de las Entidad</w:t>
      </w:r>
      <w:r w:rsidR="00B1630D" w:rsidRPr="00625DF1">
        <w:rPr>
          <w:sz w:val="22"/>
          <w:szCs w:val="22"/>
        </w:rPr>
        <w:t>es Federativas y los Municipios</w:t>
      </w:r>
      <w:r w:rsidR="000513EC" w:rsidRPr="00625DF1">
        <w:rPr>
          <w:sz w:val="22"/>
          <w:szCs w:val="22"/>
        </w:rPr>
        <w:t xml:space="preserve"> y en apego a lo dispuesto por el artículo 7 del Código Financiero del Estado de México y Municipios, </w:t>
      </w:r>
      <w:r w:rsidRPr="00625DF1">
        <w:rPr>
          <w:sz w:val="22"/>
          <w:szCs w:val="22"/>
        </w:rPr>
        <w:t>la presente Iniciativa considera</w:t>
      </w:r>
      <w:r w:rsidR="000513EC" w:rsidRPr="00625DF1">
        <w:rPr>
          <w:sz w:val="22"/>
          <w:szCs w:val="22"/>
        </w:rPr>
        <w:t xml:space="preserve"> los Criterios Generales de Política Económica </w:t>
      </w:r>
      <w:r w:rsidR="006B5A7E" w:rsidRPr="00625DF1">
        <w:rPr>
          <w:sz w:val="22"/>
          <w:szCs w:val="22"/>
        </w:rPr>
        <w:t>de</w:t>
      </w:r>
      <w:r w:rsidR="001B6633" w:rsidRPr="00625DF1">
        <w:rPr>
          <w:sz w:val="22"/>
          <w:szCs w:val="22"/>
        </w:rPr>
        <w:t xml:space="preserve"> </w:t>
      </w:r>
      <w:r w:rsidR="000513EC" w:rsidRPr="00625DF1">
        <w:rPr>
          <w:sz w:val="22"/>
          <w:szCs w:val="22"/>
        </w:rPr>
        <w:t>la Secretaría de Hacienda y Crédito Público como marco de referencia para la elaboración de las es</w:t>
      </w:r>
      <w:r w:rsidR="000E254B" w:rsidRPr="00625DF1">
        <w:rPr>
          <w:sz w:val="22"/>
          <w:szCs w:val="22"/>
        </w:rPr>
        <w:t>timaciones de ingresos para el</w:t>
      </w:r>
      <w:r w:rsidR="003E1EE6" w:rsidRPr="00625DF1">
        <w:rPr>
          <w:sz w:val="22"/>
          <w:szCs w:val="22"/>
        </w:rPr>
        <w:t xml:space="preserve"> </w:t>
      </w:r>
      <w:r w:rsidR="001B6633" w:rsidRPr="00625DF1">
        <w:rPr>
          <w:sz w:val="22"/>
          <w:szCs w:val="22"/>
        </w:rPr>
        <w:t>E</w:t>
      </w:r>
      <w:r w:rsidR="008B2044" w:rsidRPr="00625DF1">
        <w:rPr>
          <w:sz w:val="22"/>
          <w:szCs w:val="22"/>
        </w:rPr>
        <w:t xml:space="preserve">jercicio </w:t>
      </w:r>
      <w:r w:rsidR="001B6633" w:rsidRPr="00625DF1">
        <w:rPr>
          <w:sz w:val="22"/>
          <w:szCs w:val="22"/>
        </w:rPr>
        <w:t>F</w:t>
      </w:r>
      <w:r w:rsidR="008B2044" w:rsidRPr="00625DF1">
        <w:rPr>
          <w:sz w:val="22"/>
          <w:szCs w:val="22"/>
        </w:rPr>
        <w:t>iscal 202</w:t>
      </w:r>
      <w:r w:rsidR="00602F1D" w:rsidRPr="00625DF1">
        <w:rPr>
          <w:sz w:val="22"/>
          <w:szCs w:val="22"/>
        </w:rPr>
        <w:t>3</w:t>
      </w:r>
      <w:r w:rsidR="000513EC" w:rsidRPr="00625DF1">
        <w:rPr>
          <w:sz w:val="22"/>
          <w:szCs w:val="22"/>
        </w:rPr>
        <w:t>, considerando las siguientes variables macroeconómicas:</w:t>
      </w:r>
    </w:p>
    <w:p w14:paraId="153FC7ED" w14:textId="77777777" w:rsidR="00721D55" w:rsidRPr="004A0A01" w:rsidRDefault="00721D55" w:rsidP="00074AD8">
      <w:pPr>
        <w:rPr>
          <w:sz w:val="10"/>
          <w:szCs w:val="10"/>
        </w:rPr>
      </w:pPr>
    </w:p>
    <w:p w14:paraId="4AE58B90" w14:textId="04B90672" w:rsidR="000513EC" w:rsidRPr="00625DF1" w:rsidRDefault="000513EC" w:rsidP="00074AD8">
      <w:pPr>
        <w:pStyle w:val="Prrafodelista"/>
        <w:numPr>
          <w:ilvl w:val="0"/>
          <w:numId w:val="1"/>
        </w:numPr>
        <w:rPr>
          <w:sz w:val="22"/>
          <w:szCs w:val="22"/>
        </w:rPr>
      </w:pPr>
      <w:r w:rsidRPr="00625DF1">
        <w:rPr>
          <w:sz w:val="22"/>
          <w:szCs w:val="22"/>
        </w:rPr>
        <w:lastRenderedPageBreak/>
        <w:t xml:space="preserve">Crecimiento económico </w:t>
      </w:r>
      <w:r w:rsidR="00047744" w:rsidRPr="00625DF1">
        <w:rPr>
          <w:sz w:val="22"/>
          <w:szCs w:val="22"/>
        </w:rPr>
        <w:t>en un rango de 1.2 y</w:t>
      </w:r>
      <w:r w:rsidRPr="00625DF1">
        <w:rPr>
          <w:sz w:val="22"/>
          <w:szCs w:val="22"/>
        </w:rPr>
        <w:t xml:space="preserve"> </w:t>
      </w:r>
      <w:r w:rsidR="00047744" w:rsidRPr="00625DF1">
        <w:rPr>
          <w:sz w:val="22"/>
          <w:szCs w:val="22"/>
        </w:rPr>
        <w:t>3.0</w:t>
      </w:r>
      <w:r w:rsidR="00225201" w:rsidRPr="00625DF1">
        <w:rPr>
          <w:sz w:val="22"/>
          <w:szCs w:val="22"/>
        </w:rPr>
        <w:t xml:space="preserve"> por ciento</w:t>
      </w:r>
      <w:r w:rsidR="00215E21" w:rsidRPr="00625DF1">
        <w:rPr>
          <w:sz w:val="22"/>
          <w:szCs w:val="22"/>
        </w:rPr>
        <w:t>.</w:t>
      </w:r>
    </w:p>
    <w:p w14:paraId="6328038E" w14:textId="24381684" w:rsidR="000513EC" w:rsidRPr="00625DF1" w:rsidRDefault="000513EC" w:rsidP="00074AD8">
      <w:pPr>
        <w:pStyle w:val="Prrafodelista"/>
        <w:numPr>
          <w:ilvl w:val="0"/>
          <w:numId w:val="1"/>
        </w:numPr>
        <w:rPr>
          <w:sz w:val="22"/>
          <w:szCs w:val="22"/>
        </w:rPr>
      </w:pPr>
      <w:r w:rsidRPr="00625DF1">
        <w:rPr>
          <w:sz w:val="22"/>
          <w:szCs w:val="22"/>
        </w:rPr>
        <w:t xml:space="preserve">Inflación </w:t>
      </w:r>
      <w:r w:rsidR="00047744" w:rsidRPr="00625DF1">
        <w:rPr>
          <w:sz w:val="22"/>
          <w:szCs w:val="22"/>
        </w:rPr>
        <w:t xml:space="preserve">promedio </w:t>
      </w:r>
      <w:r w:rsidRPr="00625DF1">
        <w:rPr>
          <w:sz w:val="22"/>
          <w:szCs w:val="22"/>
        </w:rPr>
        <w:t xml:space="preserve">del </w:t>
      </w:r>
      <w:r w:rsidR="00047744" w:rsidRPr="00625DF1">
        <w:rPr>
          <w:sz w:val="22"/>
          <w:szCs w:val="22"/>
        </w:rPr>
        <w:t>4.7</w:t>
      </w:r>
      <w:r w:rsidR="002B1DE9" w:rsidRPr="00625DF1">
        <w:rPr>
          <w:sz w:val="22"/>
          <w:szCs w:val="22"/>
        </w:rPr>
        <w:t xml:space="preserve"> por ciento</w:t>
      </w:r>
      <w:r w:rsidRPr="00625DF1">
        <w:rPr>
          <w:sz w:val="22"/>
          <w:szCs w:val="22"/>
        </w:rPr>
        <w:t>.</w:t>
      </w:r>
    </w:p>
    <w:p w14:paraId="111D3C2D" w14:textId="2B55A421" w:rsidR="000513EC" w:rsidRPr="00625DF1" w:rsidRDefault="000513EC" w:rsidP="00074AD8">
      <w:pPr>
        <w:pStyle w:val="Prrafodelista"/>
        <w:numPr>
          <w:ilvl w:val="0"/>
          <w:numId w:val="1"/>
        </w:numPr>
        <w:rPr>
          <w:sz w:val="22"/>
          <w:szCs w:val="22"/>
        </w:rPr>
      </w:pPr>
      <w:r w:rsidRPr="00625DF1">
        <w:rPr>
          <w:sz w:val="22"/>
          <w:szCs w:val="22"/>
        </w:rPr>
        <w:t>Tipo de cambio nominal</w:t>
      </w:r>
      <w:r w:rsidR="00225201" w:rsidRPr="00625DF1">
        <w:rPr>
          <w:sz w:val="22"/>
          <w:szCs w:val="22"/>
        </w:rPr>
        <w:t xml:space="preserve"> promedio</w:t>
      </w:r>
      <w:r w:rsidRPr="00625DF1">
        <w:rPr>
          <w:sz w:val="22"/>
          <w:szCs w:val="22"/>
        </w:rPr>
        <w:t xml:space="preserve"> de </w:t>
      </w:r>
      <w:r w:rsidR="000A1DD6" w:rsidRPr="00625DF1">
        <w:rPr>
          <w:sz w:val="22"/>
          <w:szCs w:val="22"/>
        </w:rPr>
        <w:t>20.</w:t>
      </w:r>
      <w:r w:rsidR="00047744" w:rsidRPr="00625DF1">
        <w:rPr>
          <w:sz w:val="22"/>
          <w:szCs w:val="22"/>
        </w:rPr>
        <w:t>6</w:t>
      </w:r>
      <w:r w:rsidRPr="00625DF1">
        <w:rPr>
          <w:sz w:val="22"/>
          <w:szCs w:val="22"/>
        </w:rPr>
        <w:t xml:space="preserve"> pesos por dólar.</w:t>
      </w:r>
    </w:p>
    <w:p w14:paraId="299A38CE" w14:textId="0B27C075" w:rsidR="000513EC" w:rsidRPr="00625DF1" w:rsidRDefault="000513EC" w:rsidP="009E094B">
      <w:pPr>
        <w:pStyle w:val="Prrafodelista"/>
        <w:numPr>
          <w:ilvl w:val="0"/>
          <w:numId w:val="1"/>
        </w:numPr>
        <w:spacing w:after="0"/>
        <w:rPr>
          <w:sz w:val="22"/>
          <w:szCs w:val="22"/>
        </w:rPr>
      </w:pPr>
      <w:r w:rsidRPr="00625DF1">
        <w:rPr>
          <w:sz w:val="22"/>
          <w:szCs w:val="22"/>
        </w:rPr>
        <w:t>Precio promedio del petróleo de</w:t>
      </w:r>
      <w:r w:rsidR="00047744" w:rsidRPr="00625DF1">
        <w:rPr>
          <w:sz w:val="22"/>
          <w:szCs w:val="22"/>
        </w:rPr>
        <w:t xml:space="preserve"> 68.7</w:t>
      </w:r>
      <w:r w:rsidR="000A1DD6" w:rsidRPr="00625DF1">
        <w:rPr>
          <w:sz w:val="22"/>
          <w:szCs w:val="22"/>
        </w:rPr>
        <w:t xml:space="preserve"> </w:t>
      </w:r>
      <w:r w:rsidRPr="00625DF1">
        <w:rPr>
          <w:sz w:val="22"/>
          <w:szCs w:val="22"/>
        </w:rPr>
        <w:t>dólares por barril.</w:t>
      </w:r>
    </w:p>
    <w:p w14:paraId="79710ECD" w14:textId="77777777" w:rsidR="00225201" w:rsidRPr="00625DF1" w:rsidRDefault="00225201" w:rsidP="00074AD8">
      <w:pPr>
        <w:rPr>
          <w:color w:val="BFBFBF" w:themeColor="background1" w:themeShade="BF"/>
          <w:sz w:val="22"/>
          <w:szCs w:val="22"/>
        </w:rPr>
      </w:pPr>
    </w:p>
    <w:p w14:paraId="429327DE" w14:textId="44D58A38" w:rsidR="000513EC" w:rsidRPr="00625DF1" w:rsidRDefault="00FC2D5B" w:rsidP="00074AD8">
      <w:pPr>
        <w:rPr>
          <w:sz w:val="22"/>
          <w:szCs w:val="22"/>
        </w:rPr>
      </w:pPr>
      <w:r w:rsidRPr="00625DF1">
        <w:rPr>
          <w:sz w:val="22"/>
          <w:szCs w:val="22"/>
        </w:rPr>
        <w:t>De igual manera</w:t>
      </w:r>
      <w:r w:rsidR="000513EC" w:rsidRPr="00625DF1">
        <w:rPr>
          <w:sz w:val="22"/>
          <w:szCs w:val="22"/>
        </w:rPr>
        <w:t xml:space="preserve">, considera la evolución de los ingresos estatales conforme a las </w:t>
      </w:r>
      <w:r w:rsidR="001B6633" w:rsidRPr="00625DF1">
        <w:rPr>
          <w:sz w:val="22"/>
          <w:szCs w:val="22"/>
        </w:rPr>
        <w:t>C</w:t>
      </w:r>
      <w:r w:rsidR="000513EC" w:rsidRPr="00625DF1">
        <w:rPr>
          <w:sz w:val="22"/>
          <w:szCs w:val="22"/>
        </w:rPr>
        <w:t xml:space="preserve">uentas </w:t>
      </w:r>
      <w:r w:rsidR="001B6633" w:rsidRPr="00625DF1">
        <w:rPr>
          <w:sz w:val="22"/>
          <w:szCs w:val="22"/>
        </w:rPr>
        <w:t>P</w:t>
      </w:r>
      <w:r w:rsidR="000513EC" w:rsidRPr="00625DF1">
        <w:rPr>
          <w:sz w:val="22"/>
          <w:szCs w:val="22"/>
        </w:rPr>
        <w:t xml:space="preserve">úblicas de los últimos 5 </w:t>
      </w:r>
      <w:r w:rsidR="00CD690F" w:rsidRPr="00625DF1">
        <w:rPr>
          <w:sz w:val="22"/>
          <w:szCs w:val="22"/>
        </w:rPr>
        <w:t>E</w:t>
      </w:r>
      <w:r w:rsidR="000513EC" w:rsidRPr="00625DF1">
        <w:rPr>
          <w:sz w:val="22"/>
          <w:szCs w:val="22"/>
        </w:rPr>
        <w:t xml:space="preserve">jercicios </w:t>
      </w:r>
      <w:r w:rsidR="00CD690F" w:rsidRPr="00625DF1">
        <w:rPr>
          <w:sz w:val="22"/>
          <w:szCs w:val="22"/>
        </w:rPr>
        <w:t>F</w:t>
      </w:r>
      <w:r w:rsidR="000513EC" w:rsidRPr="00625DF1">
        <w:rPr>
          <w:sz w:val="22"/>
          <w:szCs w:val="22"/>
        </w:rPr>
        <w:t>iscal</w:t>
      </w:r>
      <w:r w:rsidR="000E254B" w:rsidRPr="00625DF1">
        <w:rPr>
          <w:sz w:val="22"/>
          <w:szCs w:val="22"/>
        </w:rPr>
        <w:t xml:space="preserve">es, el cierre estimado para el </w:t>
      </w:r>
      <w:r w:rsidR="001B6633" w:rsidRPr="00625DF1">
        <w:rPr>
          <w:sz w:val="22"/>
          <w:szCs w:val="22"/>
        </w:rPr>
        <w:t>E</w:t>
      </w:r>
      <w:r w:rsidR="008B2044" w:rsidRPr="00625DF1">
        <w:rPr>
          <w:sz w:val="22"/>
          <w:szCs w:val="22"/>
        </w:rPr>
        <w:t xml:space="preserve">jercicio </w:t>
      </w:r>
      <w:r w:rsidR="001B6633" w:rsidRPr="00625DF1">
        <w:rPr>
          <w:sz w:val="22"/>
          <w:szCs w:val="22"/>
        </w:rPr>
        <w:t>F</w:t>
      </w:r>
      <w:r w:rsidR="008B2044" w:rsidRPr="00625DF1">
        <w:rPr>
          <w:sz w:val="22"/>
          <w:szCs w:val="22"/>
        </w:rPr>
        <w:t xml:space="preserve">iscal </w:t>
      </w:r>
      <w:r w:rsidR="00640134" w:rsidRPr="00625DF1">
        <w:rPr>
          <w:sz w:val="22"/>
          <w:szCs w:val="22"/>
        </w:rPr>
        <w:t>2022</w:t>
      </w:r>
      <w:r w:rsidR="000A1DD6" w:rsidRPr="00625DF1">
        <w:rPr>
          <w:sz w:val="22"/>
          <w:szCs w:val="22"/>
        </w:rPr>
        <w:t xml:space="preserve"> </w:t>
      </w:r>
      <w:r w:rsidR="000513EC" w:rsidRPr="00625DF1">
        <w:rPr>
          <w:sz w:val="22"/>
          <w:szCs w:val="22"/>
        </w:rPr>
        <w:t xml:space="preserve">y las proyecciones de ingresos para 5 años en adición al </w:t>
      </w:r>
      <w:r w:rsidR="001B6633" w:rsidRPr="00625DF1">
        <w:rPr>
          <w:sz w:val="22"/>
          <w:szCs w:val="22"/>
        </w:rPr>
        <w:t>E</w:t>
      </w:r>
      <w:r w:rsidR="00724D87" w:rsidRPr="00625DF1">
        <w:rPr>
          <w:sz w:val="22"/>
          <w:szCs w:val="22"/>
        </w:rPr>
        <w:t xml:space="preserve">jercicio </w:t>
      </w:r>
      <w:r w:rsidR="001B6633" w:rsidRPr="00625DF1">
        <w:rPr>
          <w:sz w:val="22"/>
          <w:szCs w:val="22"/>
        </w:rPr>
        <w:t>F</w:t>
      </w:r>
      <w:r w:rsidR="00724D87" w:rsidRPr="00625DF1">
        <w:rPr>
          <w:sz w:val="22"/>
          <w:szCs w:val="22"/>
        </w:rPr>
        <w:t xml:space="preserve">iscal </w:t>
      </w:r>
      <w:r w:rsidR="00640134" w:rsidRPr="00625DF1">
        <w:rPr>
          <w:sz w:val="22"/>
          <w:szCs w:val="22"/>
        </w:rPr>
        <w:t>2023</w:t>
      </w:r>
      <w:r w:rsidR="000513EC" w:rsidRPr="00625DF1">
        <w:rPr>
          <w:sz w:val="22"/>
          <w:szCs w:val="22"/>
        </w:rPr>
        <w:t>, dando cumplimiento</w:t>
      </w:r>
      <w:r w:rsidR="001B6633" w:rsidRPr="00625DF1">
        <w:rPr>
          <w:sz w:val="22"/>
          <w:szCs w:val="22"/>
        </w:rPr>
        <w:t xml:space="preserve"> </w:t>
      </w:r>
      <w:r w:rsidR="000513EC" w:rsidRPr="00625DF1">
        <w:rPr>
          <w:sz w:val="22"/>
          <w:szCs w:val="22"/>
        </w:rPr>
        <w:t>a los requerimientos establecidos en la Ley de Disciplina Financiera de las Entidades Federativas y los Municipios</w:t>
      </w:r>
      <w:r w:rsidR="00724D87" w:rsidRPr="00625DF1">
        <w:rPr>
          <w:sz w:val="22"/>
          <w:szCs w:val="22"/>
        </w:rPr>
        <w:t xml:space="preserve"> referida</w:t>
      </w:r>
      <w:r w:rsidR="000513EC" w:rsidRPr="00625DF1">
        <w:rPr>
          <w:sz w:val="22"/>
          <w:szCs w:val="22"/>
        </w:rPr>
        <w:t>:</w:t>
      </w:r>
    </w:p>
    <w:p w14:paraId="226D4B23" w14:textId="77777777" w:rsidR="006677EA" w:rsidRPr="00E84DBE" w:rsidRDefault="006677EA" w:rsidP="00074AD8">
      <w:pPr>
        <w:rPr>
          <w:color w:val="BFBFBF" w:themeColor="background1" w:themeShade="BF"/>
        </w:rPr>
      </w:pPr>
    </w:p>
    <w:tbl>
      <w:tblPr>
        <w:tblW w:w="5781" w:type="pct"/>
        <w:tblInd w:w="-714" w:type="dxa"/>
        <w:tblCellMar>
          <w:left w:w="70" w:type="dxa"/>
          <w:right w:w="70" w:type="dxa"/>
        </w:tblCellMar>
        <w:tblLook w:val="04A0" w:firstRow="1" w:lastRow="0" w:firstColumn="1" w:lastColumn="0" w:noHBand="0" w:noVBand="1"/>
      </w:tblPr>
      <w:tblGrid>
        <w:gridCol w:w="257"/>
        <w:gridCol w:w="286"/>
        <w:gridCol w:w="2367"/>
        <w:gridCol w:w="1191"/>
        <w:gridCol w:w="1191"/>
        <w:gridCol w:w="1191"/>
        <w:gridCol w:w="1191"/>
        <w:gridCol w:w="1304"/>
        <w:gridCol w:w="1402"/>
      </w:tblGrid>
      <w:tr w:rsidR="00CB04CD" w:rsidRPr="00E84DBE" w14:paraId="742B9A0C" w14:textId="77777777" w:rsidTr="004A0A01">
        <w:trPr>
          <w:trHeight w:val="20"/>
          <w:tblHeader/>
        </w:trPr>
        <w:tc>
          <w:tcPr>
            <w:tcW w:w="5000" w:type="pct"/>
            <w:gridSpan w:val="9"/>
            <w:tcBorders>
              <w:top w:val="single" w:sz="4" w:space="0" w:color="auto"/>
              <w:left w:val="single" w:sz="4" w:space="0" w:color="auto"/>
              <w:bottom w:val="nil"/>
              <w:right w:val="single" w:sz="4" w:space="0" w:color="000000"/>
            </w:tcBorders>
            <w:shd w:val="clear" w:color="auto" w:fill="D9D9D9"/>
            <w:noWrap/>
            <w:hideMark/>
          </w:tcPr>
          <w:p w14:paraId="60F3630B"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ESTADO DE MÉXICO</w:t>
            </w:r>
          </w:p>
        </w:tc>
      </w:tr>
      <w:tr w:rsidR="00CB04CD" w:rsidRPr="00E84DBE" w14:paraId="6FA14182" w14:textId="77777777" w:rsidTr="004A0A01">
        <w:trPr>
          <w:trHeight w:val="20"/>
          <w:tblHeader/>
        </w:trPr>
        <w:tc>
          <w:tcPr>
            <w:tcW w:w="5000" w:type="pct"/>
            <w:gridSpan w:val="9"/>
            <w:tcBorders>
              <w:top w:val="nil"/>
              <w:left w:val="single" w:sz="4" w:space="0" w:color="auto"/>
              <w:bottom w:val="nil"/>
              <w:right w:val="single" w:sz="4" w:space="0" w:color="000000"/>
            </w:tcBorders>
            <w:shd w:val="clear" w:color="auto" w:fill="D9D9D9"/>
            <w:noWrap/>
            <w:hideMark/>
          </w:tcPr>
          <w:p w14:paraId="47C1C4A1"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Resultados de Ingresos - LDF</w:t>
            </w:r>
          </w:p>
        </w:tc>
      </w:tr>
      <w:tr w:rsidR="00CB04CD" w:rsidRPr="00E84DBE" w14:paraId="75ABD4FC" w14:textId="77777777" w:rsidTr="004A0A01">
        <w:trPr>
          <w:trHeight w:val="20"/>
          <w:tblHeader/>
        </w:trPr>
        <w:tc>
          <w:tcPr>
            <w:tcW w:w="5000" w:type="pct"/>
            <w:gridSpan w:val="9"/>
            <w:tcBorders>
              <w:top w:val="nil"/>
              <w:left w:val="single" w:sz="4" w:space="0" w:color="auto"/>
              <w:bottom w:val="single" w:sz="4" w:space="0" w:color="auto"/>
              <w:right w:val="single" w:sz="4" w:space="0" w:color="000000"/>
            </w:tcBorders>
            <w:shd w:val="clear" w:color="auto" w:fill="D9D9D9"/>
            <w:noWrap/>
            <w:hideMark/>
          </w:tcPr>
          <w:p w14:paraId="185AFD15"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(PESOS)</w:t>
            </w:r>
          </w:p>
        </w:tc>
      </w:tr>
      <w:tr w:rsidR="00CB04CD" w:rsidRPr="00E84DBE" w14:paraId="1A170382" w14:textId="77777777" w:rsidTr="004A0A01">
        <w:trPr>
          <w:trHeight w:val="20"/>
          <w:tblHeader/>
        </w:trPr>
        <w:tc>
          <w:tcPr>
            <w:tcW w:w="1458"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16B6E4"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Concepto</w:t>
            </w:r>
          </w:p>
        </w:tc>
        <w:tc>
          <w:tcPr>
            <w:tcW w:w="423" w:type="pct"/>
            <w:tcBorders>
              <w:top w:val="single" w:sz="4" w:space="0" w:color="auto"/>
              <w:left w:val="nil"/>
              <w:bottom w:val="single" w:sz="4" w:space="0" w:color="auto"/>
              <w:right w:val="single" w:sz="4" w:space="0" w:color="auto"/>
            </w:tcBorders>
            <w:shd w:val="clear" w:color="auto" w:fill="D9D9D9"/>
            <w:vAlign w:val="center"/>
            <w:hideMark/>
          </w:tcPr>
          <w:p w14:paraId="6E731FAB"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2017 </w:t>
            </w:r>
            <w:r w:rsidRPr="00E84DBE">
              <w:rPr>
                <w:rFonts w:eastAsia="Times New Roman" w:cs="Arial"/>
                <w:b/>
                <w:bCs/>
                <w:color w:val="000000"/>
                <w:sz w:val="14"/>
                <w:szCs w:val="14"/>
                <w:vertAlign w:val="superscript"/>
                <w:lang w:eastAsia="es-MX"/>
              </w:rPr>
              <w:t>1</w:t>
            </w:r>
          </w:p>
        </w:tc>
        <w:tc>
          <w:tcPr>
            <w:tcW w:w="584" w:type="pct"/>
            <w:tcBorders>
              <w:top w:val="single" w:sz="4" w:space="0" w:color="auto"/>
              <w:left w:val="nil"/>
              <w:bottom w:val="single" w:sz="4" w:space="0" w:color="auto"/>
              <w:right w:val="single" w:sz="4" w:space="0" w:color="auto"/>
            </w:tcBorders>
            <w:shd w:val="clear" w:color="auto" w:fill="D9D9D9"/>
            <w:vAlign w:val="center"/>
            <w:hideMark/>
          </w:tcPr>
          <w:p w14:paraId="5192D0F7"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2018 </w:t>
            </w:r>
            <w:r w:rsidRPr="00E84DBE">
              <w:rPr>
                <w:rFonts w:eastAsia="Times New Roman" w:cs="Arial"/>
                <w:b/>
                <w:bCs/>
                <w:color w:val="000000"/>
                <w:sz w:val="14"/>
                <w:szCs w:val="14"/>
                <w:vertAlign w:val="superscript"/>
                <w:lang w:eastAsia="es-MX"/>
              </w:rPr>
              <w:t>1</w:t>
            </w:r>
          </w:p>
        </w:tc>
        <w:tc>
          <w:tcPr>
            <w:tcW w:w="584" w:type="pct"/>
            <w:tcBorders>
              <w:top w:val="single" w:sz="4" w:space="0" w:color="auto"/>
              <w:left w:val="nil"/>
              <w:bottom w:val="single" w:sz="4" w:space="0" w:color="auto"/>
              <w:right w:val="single" w:sz="4" w:space="0" w:color="auto"/>
            </w:tcBorders>
            <w:shd w:val="clear" w:color="auto" w:fill="D9D9D9"/>
            <w:vAlign w:val="center"/>
            <w:hideMark/>
          </w:tcPr>
          <w:p w14:paraId="086778AA"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2019 </w:t>
            </w:r>
            <w:r w:rsidRPr="00E84DBE">
              <w:rPr>
                <w:rFonts w:eastAsia="Times New Roman" w:cs="Arial"/>
                <w:b/>
                <w:bCs/>
                <w:color w:val="000000"/>
                <w:sz w:val="14"/>
                <w:szCs w:val="14"/>
                <w:vertAlign w:val="superscript"/>
                <w:lang w:eastAsia="es-MX"/>
              </w:rPr>
              <w:t>1</w:t>
            </w:r>
          </w:p>
        </w:tc>
        <w:tc>
          <w:tcPr>
            <w:tcW w:w="584" w:type="pct"/>
            <w:tcBorders>
              <w:top w:val="single" w:sz="4" w:space="0" w:color="auto"/>
              <w:left w:val="nil"/>
              <w:bottom w:val="single" w:sz="4" w:space="0" w:color="auto"/>
              <w:right w:val="single" w:sz="4" w:space="0" w:color="auto"/>
            </w:tcBorders>
            <w:shd w:val="clear" w:color="auto" w:fill="D9D9D9"/>
            <w:vAlign w:val="center"/>
            <w:hideMark/>
          </w:tcPr>
          <w:p w14:paraId="048CB893"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2020 </w:t>
            </w:r>
            <w:r w:rsidRPr="00E84DBE">
              <w:rPr>
                <w:rFonts w:eastAsia="Times New Roman" w:cs="Arial"/>
                <w:b/>
                <w:bCs/>
                <w:color w:val="000000"/>
                <w:sz w:val="14"/>
                <w:szCs w:val="14"/>
                <w:vertAlign w:val="superscript"/>
                <w:lang w:eastAsia="es-MX"/>
              </w:rPr>
              <w:t>1</w:t>
            </w:r>
          </w:p>
        </w:tc>
        <w:tc>
          <w:tcPr>
            <w:tcW w:w="673" w:type="pct"/>
            <w:tcBorders>
              <w:top w:val="single" w:sz="4" w:space="0" w:color="auto"/>
              <w:left w:val="nil"/>
              <w:bottom w:val="single" w:sz="4" w:space="0" w:color="auto"/>
              <w:right w:val="single" w:sz="4" w:space="0" w:color="auto"/>
            </w:tcBorders>
            <w:shd w:val="clear" w:color="auto" w:fill="D9D9D9"/>
            <w:vAlign w:val="center"/>
            <w:hideMark/>
          </w:tcPr>
          <w:p w14:paraId="25919654"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2021 </w:t>
            </w:r>
            <w:r w:rsidRPr="00E84DBE">
              <w:rPr>
                <w:rFonts w:eastAsia="Times New Roman" w:cs="Arial"/>
                <w:b/>
                <w:bCs/>
                <w:color w:val="000000"/>
                <w:sz w:val="14"/>
                <w:szCs w:val="14"/>
                <w:vertAlign w:val="superscript"/>
                <w:lang w:eastAsia="es-MX"/>
              </w:rPr>
              <w:t>1</w:t>
            </w:r>
          </w:p>
        </w:tc>
        <w:tc>
          <w:tcPr>
            <w:tcW w:w="694" w:type="pct"/>
            <w:tcBorders>
              <w:top w:val="single" w:sz="4" w:space="0" w:color="auto"/>
              <w:left w:val="nil"/>
              <w:bottom w:val="single" w:sz="4" w:space="0" w:color="auto"/>
              <w:right w:val="single" w:sz="4" w:space="0" w:color="auto"/>
            </w:tcBorders>
            <w:shd w:val="clear" w:color="auto" w:fill="D9D9D9"/>
            <w:vAlign w:val="center"/>
            <w:hideMark/>
          </w:tcPr>
          <w:p w14:paraId="5D40CD76"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2022 </w:t>
            </w:r>
            <w:r w:rsidRPr="00E84DBE">
              <w:rPr>
                <w:rFonts w:eastAsia="Times New Roman" w:cs="Arial"/>
                <w:b/>
                <w:bCs/>
                <w:color w:val="000000"/>
                <w:sz w:val="14"/>
                <w:szCs w:val="14"/>
                <w:vertAlign w:val="superscript"/>
                <w:lang w:eastAsia="es-MX"/>
              </w:rPr>
              <w:t>2</w:t>
            </w:r>
          </w:p>
        </w:tc>
      </w:tr>
      <w:tr w:rsidR="00CB04CD" w:rsidRPr="00E84DBE" w14:paraId="401EA94E" w14:textId="77777777" w:rsidTr="00CB04CD">
        <w:trPr>
          <w:trHeight w:val="20"/>
        </w:trPr>
        <w:tc>
          <w:tcPr>
            <w:tcW w:w="126" w:type="pct"/>
            <w:tcBorders>
              <w:top w:val="nil"/>
              <w:left w:val="single" w:sz="4" w:space="0" w:color="auto"/>
              <w:bottom w:val="nil"/>
              <w:right w:val="nil"/>
            </w:tcBorders>
            <w:shd w:val="clear" w:color="auto" w:fill="FFFFFF"/>
            <w:noWrap/>
            <w:hideMark/>
          </w:tcPr>
          <w:p w14:paraId="7FEE4B51"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53" w:type="pct"/>
            <w:shd w:val="clear" w:color="auto" w:fill="FFFFFF"/>
            <w:noWrap/>
            <w:hideMark/>
          </w:tcPr>
          <w:p w14:paraId="73CC725C"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179" w:type="pct"/>
            <w:tcBorders>
              <w:top w:val="single" w:sz="4" w:space="0" w:color="auto"/>
              <w:left w:val="nil"/>
              <w:bottom w:val="nil"/>
              <w:right w:val="single" w:sz="4" w:space="0" w:color="auto"/>
            </w:tcBorders>
            <w:shd w:val="clear" w:color="auto" w:fill="FFFFFF"/>
            <w:hideMark/>
          </w:tcPr>
          <w:p w14:paraId="054C3115"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423" w:type="pct"/>
            <w:tcBorders>
              <w:top w:val="nil"/>
              <w:left w:val="single" w:sz="4" w:space="0" w:color="auto"/>
              <w:bottom w:val="nil"/>
              <w:right w:val="single" w:sz="4" w:space="0" w:color="auto"/>
            </w:tcBorders>
            <w:shd w:val="clear" w:color="auto" w:fill="FFFFFF"/>
            <w:hideMark/>
          </w:tcPr>
          <w:p w14:paraId="57039745"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4" w:type="pct"/>
            <w:tcBorders>
              <w:top w:val="nil"/>
              <w:left w:val="nil"/>
              <w:bottom w:val="nil"/>
              <w:right w:val="single" w:sz="4" w:space="0" w:color="auto"/>
            </w:tcBorders>
            <w:shd w:val="clear" w:color="auto" w:fill="FFFFFF"/>
            <w:hideMark/>
          </w:tcPr>
          <w:p w14:paraId="3FCF0516"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4" w:type="pct"/>
            <w:tcBorders>
              <w:top w:val="nil"/>
              <w:left w:val="nil"/>
              <w:bottom w:val="nil"/>
              <w:right w:val="single" w:sz="4" w:space="0" w:color="auto"/>
            </w:tcBorders>
            <w:shd w:val="clear" w:color="auto" w:fill="FFFFFF"/>
            <w:hideMark/>
          </w:tcPr>
          <w:p w14:paraId="040300BA"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4" w:type="pct"/>
            <w:tcBorders>
              <w:top w:val="nil"/>
              <w:left w:val="nil"/>
              <w:bottom w:val="nil"/>
              <w:right w:val="single" w:sz="4" w:space="0" w:color="auto"/>
            </w:tcBorders>
            <w:shd w:val="clear" w:color="auto" w:fill="FFFFFF"/>
            <w:hideMark/>
          </w:tcPr>
          <w:p w14:paraId="023F89FC"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73" w:type="pct"/>
            <w:tcBorders>
              <w:top w:val="nil"/>
              <w:left w:val="nil"/>
              <w:bottom w:val="nil"/>
              <w:right w:val="single" w:sz="4" w:space="0" w:color="auto"/>
            </w:tcBorders>
            <w:shd w:val="clear" w:color="auto" w:fill="FFFFFF"/>
            <w:hideMark/>
          </w:tcPr>
          <w:p w14:paraId="5A9D34AE"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94" w:type="pct"/>
            <w:tcBorders>
              <w:top w:val="nil"/>
              <w:left w:val="nil"/>
              <w:bottom w:val="nil"/>
              <w:right w:val="single" w:sz="4" w:space="0" w:color="auto"/>
            </w:tcBorders>
            <w:shd w:val="clear" w:color="auto" w:fill="FFFFFF"/>
            <w:hideMark/>
          </w:tcPr>
          <w:p w14:paraId="5BFAD087" w14:textId="77777777" w:rsidR="00CB04CD" w:rsidRPr="00E84DBE" w:rsidRDefault="00CB04CD">
            <w:pPr>
              <w:spacing w:line="240" w:lineRule="auto"/>
              <w:rPr>
                <w:rFonts w:eastAsia="Times New Roman" w:cs="Arial"/>
                <w:color w:val="0000FF"/>
                <w:sz w:val="14"/>
                <w:szCs w:val="14"/>
                <w:lang w:eastAsia="es-MX"/>
              </w:rPr>
            </w:pPr>
            <w:r w:rsidRPr="00E84DBE">
              <w:rPr>
                <w:rFonts w:eastAsia="Times New Roman" w:cs="Arial"/>
                <w:color w:val="0000FF"/>
                <w:sz w:val="14"/>
                <w:szCs w:val="14"/>
                <w:lang w:eastAsia="es-MX"/>
              </w:rPr>
              <w:t> </w:t>
            </w:r>
          </w:p>
        </w:tc>
      </w:tr>
      <w:tr w:rsidR="00CB04CD" w:rsidRPr="00E84DBE" w14:paraId="03DC06F4" w14:textId="77777777" w:rsidTr="00CB04CD">
        <w:trPr>
          <w:trHeight w:val="20"/>
        </w:trPr>
        <w:tc>
          <w:tcPr>
            <w:tcW w:w="126" w:type="pct"/>
            <w:tcBorders>
              <w:top w:val="nil"/>
              <w:left w:val="single" w:sz="4" w:space="0" w:color="auto"/>
              <w:bottom w:val="nil"/>
              <w:right w:val="nil"/>
            </w:tcBorders>
            <w:noWrap/>
            <w:hideMark/>
          </w:tcPr>
          <w:p w14:paraId="7351DC24"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1.</w:t>
            </w:r>
          </w:p>
        </w:tc>
        <w:tc>
          <w:tcPr>
            <w:tcW w:w="1332" w:type="pct"/>
            <w:gridSpan w:val="2"/>
            <w:tcBorders>
              <w:top w:val="nil"/>
              <w:left w:val="nil"/>
              <w:bottom w:val="nil"/>
              <w:right w:val="single" w:sz="4" w:space="0" w:color="000000"/>
            </w:tcBorders>
            <w:hideMark/>
          </w:tcPr>
          <w:p w14:paraId="267743DF"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Libre Disposición</w:t>
            </w:r>
            <w:r w:rsidRPr="00E84DBE">
              <w:rPr>
                <w:rFonts w:eastAsia="Times New Roman" w:cs="Arial"/>
                <w:b/>
                <w:bCs/>
                <w:sz w:val="14"/>
                <w:szCs w:val="14"/>
                <w:lang w:eastAsia="es-MX"/>
              </w:rPr>
              <w:br/>
              <w:t>(1=A+B+C+D+E+F+G+H+I+J+K+L)</w:t>
            </w:r>
          </w:p>
        </w:tc>
        <w:tc>
          <w:tcPr>
            <w:tcW w:w="423" w:type="pct"/>
            <w:tcBorders>
              <w:top w:val="nil"/>
              <w:left w:val="single" w:sz="4" w:space="0" w:color="auto"/>
              <w:bottom w:val="nil"/>
              <w:right w:val="single" w:sz="4" w:space="0" w:color="auto"/>
            </w:tcBorders>
            <w:vAlign w:val="center"/>
            <w:hideMark/>
          </w:tcPr>
          <w:p w14:paraId="48737FF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184,503,131,634</w:t>
            </w:r>
          </w:p>
        </w:tc>
        <w:tc>
          <w:tcPr>
            <w:tcW w:w="584" w:type="pct"/>
            <w:tcBorders>
              <w:top w:val="nil"/>
              <w:left w:val="nil"/>
              <w:bottom w:val="nil"/>
              <w:right w:val="single" w:sz="4" w:space="0" w:color="auto"/>
            </w:tcBorders>
            <w:vAlign w:val="center"/>
            <w:hideMark/>
          </w:tcPr>
          <w:p w14:paraId="12017BF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199,795,782,510</w:t>
            </w:r>
          </w:p>
        </w:tc>
        <w:tc>
          <w:tcPr>
            <w:tcW w:w="584" w:type="pct"/>
            <w:tcBorders>
              <w:top w:val="nil"/>
              <w:left w:val="nil"/>
              <w:bottom w:val="nil"/>
              <w:right w:val="single" w:sz="4" w:space="0" w:color="auto"/>
            </w:tcBorders>
            <w:vAlign w:val="center"/>
            <w:hideMark/>
          </w:tcPr>
          <w:p w14:paraId="5DFDFDB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206,461,553,553</w:t>
            </w:r>
          </w:p>
        </w:tc>
        <w:tc>
          <w:tcPr>
            <w:tcW w:w="584" w:type="pct"/>
            <w:tcBorders>
              <w:top w:val="nil"/>
              <w:left w:val="nil"/>
              <w:bottom w:val="nil"/>
              <w:right w:val="single" w:sz="4" w:space="0" w:color="auto"/>
            </w:tcBorders>
            <w:vAlign w:val="center"/>
            <w:hideMark/>
          </w:tcPr>
          <w:p w14:paraId="73FB0B6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195,981,166,225</w:t>
            </w:r>
          </w:p>
        </w:tc>
        <w:tc>
          <w:tcPr>
            <w:tcW w:w="673" w:type="pct"/>
            <w:tcBorders>
              <w:top w:val="nil"/>
              <w:left w:val="nil"/>
              <w:bottom w:val="nil"/>
              <w:right w:val="single" w:sz="4" w:space="0" w:color="auto"/>
            </w:tcBorders>
            <w:vAlign w:val="center"/>
            <w:hideMark/>
          </w:tcPr>
          <w:p w14:paraId="00F24C6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201,515,851,583</w:t>
            </w:r>
          </w:p>
        </w:tc>
        <w:tc>
          <w:tcPr>
            <w:tcW w:w="694" w:type="pct"/>
            <w:tcBorders>
              <w:top w:val="nil"/>
              <w:left w:val="nil"/>
              <w:bottom w:val="nil"/>
              <w:right w:val="single" w:sz="4" w:space="0" w:color="auto"/>
            </w:tcBorders>
            <w:vAlign w:val="center"/>
            <w:hideMark/>
          </w:tcPr>
          <w:p w14:paraId="6A6A1CB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213,820,849,234</w:t>
            </w:r>
          </w:p>
        </w:tc>
      </w:tr>
      <w:tr w:rsidR="00CB04CD" w:rsidRPr="00E84DBE" w14:paraId="3E73AE25" w14:textId="77777777" w:rsidTr="00CB04CD">
        <w:trPr>
          <w:trHeight w:val="20"/>
        </w:trPr>
        <w:tc>
          <w:tcPr>
            <w:tcW w:w="126" w:type="pct"/>
            <w:tcBorders>
              <w:top w:val="nil"/>
              <w:left w:val="single" w:sz="4" w:space="0" w:color="auto"/>
              <w:bottom w:val="nil"/>
              <w:right w:val="nil"/>
            </w:tcBorders>
            <w:noWrap/>
            <w:hideMark/>
          </w:tcPr>
          <w:p w14:paraId="2B036A4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3D0FE826"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2649DDE9"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7AD300E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BD6357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3CD31C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61FA7CB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618EB2B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3A6B38E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1C20D27F" w14:textId="77777777" w:rsidTr="00CB04CD">
        <w:trPr>
          <w:trHeight w:val="20"/>
        </w:trPr>
        <w:tc>
          <w:tcPr>
            <w:tcW w:w="126" w:type="pct"/>
            <w:tcBorders>
              <w:top w:val="nil"/>
              <w:left w:val="single" w:sz="4" w:space="0" w:color="auto"/>
              <w:bottom w:val="nil"/>
              <w:right w:val="nil"/>
            </w:tcBorders>
            <w:noWrap/>
            <w:hideMark/>
          </w:tcPr>
          <w:p w14:paraId="76EC974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6D7591A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179" w:type="pct"/>
            <w:tcBorders>
              <w:top w:val="nil"/>
              <w:left w:val="nil"/>
              <w:bottom w:val="nil"/>
              <w:right w:val="single" w:sz="4" w:space="0" w:color="auto"/>
            </w:tcBorders>
            <w:hideMark/>
          </w:tcPr>
          <w:p w14:paraId="5262B44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Impuestos</w:t>
            </w:r>
          </w:p>
        </w:tc>
        <w:tc>
          <w:tcPr>
            <w:tcW w:w="423" w:type="pct"/>
            <w:tcBorders>
              <w:top w:val="nil"/>
              <w:left w:val="single" w:sz="4" w:space="0" w:color="auto"/>
              <w:bottom w:val="nil"/>
              <w:right w:val="single" w:sz="4" w:space="0" w:color="auto"/>
            </w:tcBorders>
            <w:hideMark/>
          </w:tcPr>
          <w:p w14:paraId="2FAAC93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17,563,875,192</w:t>
            </w:r>
          </w:p>
        </w:tc>
        <w:tc>
          <w:tcPr>
            <w:tcW w:w="584" w:type="pct"/>
            <w:tcBorders>
              <w:top w:val="nil"/>
              <w:left w:val="nil"/>
              <w:bottom w:val="nil"/>
              <w:right w:val="single" w:sz="4" w:space="0" w:color="auto"/>
            </w:tcBorders>
            <w:hideMark/>
          </w:tcPr>
          <w:p w14:paraId="45F5BFA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19,572,238,886</w:t>
            </w:r>
          </w:p>
        </w:tc>
        <w:tc>
          <w:tcPr>
            <w:tcW w:w="584" w:type="pct"/>
            <w:tcBorders>
              <w:top w:val="nil"/>
              <w:left w:val="nil"/>
              <w:bottom w:val="nil"/>
              <w:right w:val="single" w:sz="4" w:space="0" w:color="auto"/>
            </w:tcBorders>
            <w:hideMark/>
          </w:tcPr>
          <w:p w14:paraId="7FC776B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21,451,514,032</w:t>
            </w:r>
          </w:p>
        </w:tc>
        <w:tc>
          <w:tcPr>
            <w:tcW w:w="584" w:type="pct"/>
            <w:tcBorders>
              <w:top w:val="nil"/>
              <w:left w:val="nil"/>
              <w:bottom w:val="nil"/>
              <w:right w:val="single" w:sz="4" w:space="0" w:color="auto"/>
            </w:tcBorders>
            <w:hideMark/>
          </w:tcPr>
          <w:p w14:paraId="222211A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20,850,708,719</w:t>
            </w:r>
          </w:p>
        </w:tc>
        <w:tc>
          <w:tcPr>
            <w:tcW w:w="673" w:type="pct"/>
            <w:tcBorders>
              <w:top w:val="nil"/>
              <w:left w:val="nil"/>
              <w:bottom w:val="nil"/>
              <w:right w:val="single" w:sz="4" w:space="0" w:color="auto"/>
            </w:tcBorders>
            <w:hideMark/>
          </w:tcPr>
          <w:p w14:paraId="100C6FD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22,785,947,819</w:t>
            </w:r>
          </w:p>
        </w:tc>
        <w:tc>
          <w:tcPr>
            <w:tcW w:w="694" w:type="pct"/>
            <w:tcBorders>
              <w:top w:val="nil"/>
              <w:left w:val="nil"/>
              <w:bottom w:val="nil"/>
              <w:right w:val="single" w:sz="4" w:space="0" w:color="auto"/>
            </w:tcBorders>
            <w:hideMark/>
          </w:tcPr>
          <w:p w14:paraId="482A5C3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23,604,253,243</w:t>
            </w:r>
          </w:p>
        </w:tc>
      </w:tr>
      <w:tr w:rsidR="00CB04CD" w:rsidRPr="00E84DBE" w14:paraId="4AF19633" w14:textId="77777777" w:rsidTr="00CB04CD">
        <w:trPr>
          <w:trHeight w:val="20"/>
        </w:trPr>
        <w:tc>
          <w:tcPr>
            <w:tcW w:w="126" w:type="pct"/>
            <w:tcBorders>
              <w:top w:val="nil"/>
              <w:left w:val="single" w:sz="4" w:space="0" w:color="auto"/>
              <w:bottom w:val="nil"/>
              <w:right w:val="nil"/>
            </w:tcBorders>
            <w:noWrap/>
            <w:hideMark/>
          </w:tcPr>
          <w:p w14:paraId="3238192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2D2A67F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179" w:type="pct"/>
            <w:tcBorders>
              <w:top w:val="nil"/>
              <w:left w:val="nil"/>
              <w:bottom w:val="nil"/>
              <w:right w:val="single" w:sz="4" w:space="0" w:color="auto"/>
            </w:tcBorders>
            <w:hideMark/>
          </w:tcPr>
          <w:p w14:paraId="4EE2D39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xml:space="preserve">Cuotas y Aportaciones de Seguridad Social </w:t>
            </w:r>
            <w:r w:rsidRPr="00E84DBE">
              <w:rPr>
                <w:rFonts w:eastAsia="Times New Roman" w:cs="Arial"/>
                <w:sz w:val="14"/>
                <w:szCs w:val="14"/>
                <w:vertAlign w:val="superscript"/>
                <w:lang w:eastAsia="es-MX"/>
              </w:rPr>
              <w:t>4</w:t>
            </w:r>
          </w:p>
        </w:tc>
        <w:tc>
          <w:tcPr>
            <w:tcW w:w="423" w:type="pct"/>
            <w:tcBorders>
              <w:top w:val="nil"/>
              <w:left w:val="single" w:sz="4" w:space="0" w:color="auto"/>
              <w:bottom w:val="nil"/>
              <w:right w:val="single" w:sz="4" w:space="0" w:color="auto"/>
            </w:tcBorders>
            <w:vAlign w:val="center"/>
            <w:hideMark/>
          </w:tcPr>
          <w:p w14:paraId="6EDCC49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19,517,891,000</w:t>
            </w:r>
          </w:p>
        </w:tc>
        <w:tc>
          <w:tcPr>
            <w:tcW w:w="584" w:type="pct"/>
            <w:tcBorders>
              <w:top w:val="nil"/>
              <w:left w:val="nil"/>
              <w:bottom w:val="nil"/>
              <w:right w:val="single" w:sz="4" w:space="0" w:color="auto"/>
            </w:tcBorders>
            <w:vAlign w:val="center"/>
            <w:hideMark/>
          </w:tcPr>
          <w:p w14:paraId="266EA22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20,543,801,000</w:t>
            </w:r>
          </w:p>
        </w:tc>
        <w:tc>
          <w:tcPr>
            <w:tcW w:w="584" w:type="pct"/>
            <w:tcBorders>
              <w:top w:val="nil"/>
              <w:left w:val="nil"/>
              <w:bottom w:val="nil"/>
              <w:right w:val="single" w:sz="4" w:space="0" w:color="auto"/>
            </w:tcBorders>
            <w:vAlign w:val="center"/>
            <w:hideMark/>
          </w:tcPr>
          <w:p w14:paraId="7D50A9E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21,833,258,000</w:t>
            </w:r>
          </w:p>
        </w:tc>
        <w:tc>
          <w:tcPr>
            <w:tcW w:w="584" w:type="pct"/>
            <w:tcBorders>
              <w:top w:val="nil"/>
              <w:left w:val="nil"/>
              <w:bottom w:val="nil"/>
              <w:right w:val="single" w:sz="4" w:space="0" w:color="auto"/>
            </w:tcBorders>
            <w:vAlign w:val="center"/>
            <w:hideMark/>
          </w:tcPr>
          <w:p w14:paraId="1A940CE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24,014,043,000</w:t>
            </w:r>
          </w:p>
        </w:tc>
        <w:tc>
          <w:tcPr>
            <w:tcW w:w="673" w:type="pct"/>
            <w:tcBorders>
              <w:top w:val="nil"/>
              <w:left w:val="nil"/>
              <w:bottom w:val="nil"/>
              <w:right w:val="single" w:sz="4" w:space="0" w:color="auto"/>
            </w:tcBorders>
            <w:vAlign w:val="center"/>
            <w:hideMark/>
          </w:tcPr>
          <w:p w14:paraId="3CBF635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22,762,859,000</w:t>
            </w:r>
          </w:p>
        </w:tc>
        <w:tc>
          <w:tcPr>
            <w:tcW w:w="694" w:type="pct"/>
            <w:tcBorders>
              <w:top w:val="nil"/>
              <w:left w:val="nil"/>
              <w:bottom w:val="nil"/>
              <w:right w:val="single" w:sz="4" w:space="0" w:color="auto"/>
            </w:tcBorders>
            <w:vAlign w:val="center"/>
            <w:hideMark/>
          </w:tcPr>
          <w:p w14:paraId="1553CD2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29,161,248,701</w:t>
            </w:r>
          </w:p>
        </w:tc>
      </w:tr>
      <w:tr w:rsidR="00CB04CD" w:rsidRPr="00E84DBE" w14:paraId="1C07995E" w14:textId="77777777" w:rsidTr="00CB04CD">
        <w:trPr>
          <w:trHeight w:val="20"/>
        </w:trPr>
        <w:tc>
          <w:tcPr>
            <w:tcW w:w="126" w:type="pct"/>
            <w:tcBorders>
              <w:top w:val="nil"/>
              <w:left w:val="single" w:sz="4" w:space="0" w:color="auto"/>
              <w:bottom w:val="nil"/>
              <w:right w:val="nil"/>
            </w:tcBorders>
            <w:noWrap/>
            <w:hideMark/>
          </w:tcPr>
          <w:p w14:paraId="311BFE3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19F5509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179" w:type="pct"/>
            <w:tcBorders>
              <w:top w:val="nil"/>
              <w:left w:val="nil"/>
              <w:bottom w:val="nil"/>
              <w:right w:val="single" w:sz="4" w:space="0" w:color="auto"/>
            </w:tcBorders>
            <w:hideMark/>
          </w:tcPr>
          <w:p w14:paraId="73216FF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Contribuciones de Mejoras</w:t>
            </w:r>
          </w:p>
        </w:tc>
        <w:tc>
          <w:tcPr>
            <w:tcW w:w="423" w:type="pct"/>
            <w:tcBorders>
              <w:top w:val="nil"/>
              <w:left w:val="single" w:sz="4" w:space="0" w:color="auto"/>
              <w:bottom w:val="nil"/>
              <w:right w:val="single" w:sz="4" w:space="0" w:color="auto"/>
            </w:tcBorders>
            <w:hideMark/>
          </w:tcPr>
          <w:p w14:paraId="64D06E8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566,661,322</w:t>
            </w:r>
          </w:p>
        </w:tc>
        <w:tc>
          <w:tcPr>
            <w:tcW w:w="584" w:type="pct"/>
            <w:tcBorders>
              <w:top w:val="nil"/>
              <w:left w:val="nil"/>
              <w:bottom w:val="nil"/>
              <w:right w:val="single" w:sz="4" w:space="0" w:color="auto"/>
            </w:tcBorders>
            <w:hideMark/>
          </w:tcPr>
          <w:p w14:paraId="2B2C31B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458,278,434</w:t>
            </w:r>
          </w:p>
        </w:tc>
        <w:tc>
          <w:tcPr>
            <w:tcW w:w="584" w:type="pct"/>
            <w:tcBorders>
              <w:top w:val="nil"/>
              <w:left w:val="nil"/>
              <w:bottom w:val="nil"/>
              <w:right w:val="single" w:sz="4" w:space="0" w:color="auto"/>
            </w:tcBorders>
            <w:hideMark/>
          </w:tcPr>
          <w:p w14:paraId="597D088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506,926,836</w:t>
            </w:r>
          </w:p>
        </w:tc>
        <w:tc>
          <w:tcPr>
            <w:tcW w:w="584" w:type="pct"/>
            <w:tcBorders>
              <w:top w:val="nil"/>
              <w:left w:val="nil"/>
              <w:bottom w:val="nil"/>
              <w:right w:val="single" w:sz="4" w:space="0" w:color="auto"/>
            </w:tcBorders>
            <w:hideMark/>
          </w:tcPr>
          <w:p w14:paraId="2CBE3B2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492,405,777</w:t>
            </w:r>
          </w:p>
        </w:tc>
        <w:tc>
          <w:tcPr>
            <w:tcW w:w="673" w:type="pct"/>
            <w:tcBorders>
              <w:top w:val="nil"/>
              <w:left w:val="nil"/>
              <w:bottom w:val="nil"/>
              <w:right w:val="single" w:sz="4" w:space="0" w:color="auto"/>
            </w:tcBorders>
            <w:hideMark/>
          </w:tcPr>
          <w:p w14:paraId="18F1166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703,868,291</w:t>
            </w:r>
          </w:p>
        </w:tc>
        <w:tc>
          <w:tcPr>
            <w:tcW w:w="694" w:type="pct"/>
            <w:tcBorders>
              <w:top w:val="nil"/>
              <w:left w:val="nil"/>
              <w:bottom w:val="nil"/>
              <w:right w:val="single" w:sz="4" w:space="0" w:color="auto"/>
            </w:tcBorders>
            <w:hideMark/>
          </w:tcPr>
          <w:p w14:paraId="73F513D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495,600,049</w:t>
            </w:r>
          </w:p>
        </w:tc>
      </w:tr>
      <w:tr w:rsidR="00CB04CD" w:rsidRPr="00E84DBE" w14:paraId="1FEC7E3F" w14:textId="77777777" w:rsidTr="00CB04CD">
        <w:trPr>
          <w:trHeight w:val="20"/>
        </w:trPr>
        <w:tc>
          <w:tcPr>
            <w:tcW w:w="126" w:type="pct"/>
            <w:tcBorders>
              <w:top w:val="nil"/>
              <w:left w:val="single" w:sz="4" w:space="0" w:color="auto"/>
              <w:bottom w:val="nil"/>
              <w:right w:val="nil"/>
            </w:tcBorders>
            <w:noWrap/>
            <w:hideMark/>
          </w:tcPr>
          <w:p w14:paraId="6A9378B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368A44C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179" w:type="pct"/>
            <w:tcBorders>
              <w:top w:val="nil"/>
              <w:left w:val="nil"/>
              <w:bottom w:val="nil"/>
              <w:right w:val="single" w:sz="4" w:space="0" w:color="auto"/>
            </w:tcBorders>
            <w:hideMark/>
          </w:tcPr>
          <w:p w14:paraId="717DEA7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Derechos</w:t>
            </w:r>
          </w:p>
        </w:tc>
        <w:tc>
          <w:tcPr>
            <w:tcW w:w="423" w:type="pct"/>
            <w:tcBorders>
              <w:top w:val="nil"/>
              <w:left w:val="single" w:sz="4" w:space="0" w:color="auto"/>
              <w:bottom w:val="nil"/>
              <w:right w:val="single" w:sz="4" w:space="0" w:color="auto"/>
            </w:tcBorders>
            <w:hideMark/>
          </w:tcPr>
          <w:p w14:paraId="06981B4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7,828,246,897</w:t>
            </w:r>
          </w:p>
        </w:tc>
        <w:tc>
          <w:tcPr>
            <w:tcW w:w="584" w:type="pct"/>
            <w:tcBorders>
              <w:top w:val="nil"/>
              <w:left w:val="nil"/>
              <w:bottom w:val="nil"/>
              <w:right w:val="single" w:sz="4" w:space="0" w:color="auto"/>
            </w:tcBorders>
            <w:hideMark/>
          </w:tcPr>
          <w:p w14:paraId="145BB3B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8,254,093,076</w:t>
            </w:r>
          </w:p>
        </w:tc>
        <w:tc>
          <w:tcPr>
            <w:tcW w:w="584" w:type="pct"/>
            <w:tcBorders>
              <w:top w:val="nil"/>
              <w:left w:val="nil"/>
              <w:bottom w:val="nil"/>
              <w:right w:val="single" w:sz="4" w:space="0" w:color="auto"/>
            </w:tcBorders>
            <w:hideMark/>
          </w:tcPr>
          <w:p w14:paraId="1D0B029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10,296,210,739</w:t>
            </w:r>
          </w:p>
        </w:tc>
        <w:tc>
          <w:tcPr>
            <w:tcW w:w="584" w:type="pct"/>
            <w:tcBorders>
              <w:top w:val="nil"/>
              <w:left w:val="nil"/>
              <w:bottom w:val="nil"/>
              <w:right w:val="single" w:sz="4" w:space="0" w:color="auto"/>
            </w:tcBorders>
            <w:hideMark/>
          </w:tcPr>
          <w:p w14:paraId="4A6E7B9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9,541,071,421</w:t>
            </w:r>
          </w:p>
        </w:tc>
        <w:tc>
          <w:tcPr>
            <w:tcW w:w="673" w:type="pct"/>
            <w:tcBorders>
              <w:top w:val="nil"/>
              <w:left w:val="nil"/>
              <w:bottom w:val="nil"/>
              <w:right w:val="single" w:sz="4" w:space="0" w:color="auto"/>
            </w:tcBorders>
            <w:hideMark/>
          </w:tcPr>
          <w:p w14:paraId="0B8961C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11,437,422,221</w:t>
            </w:r>
          </w:p>
        </w:tc>
        <w:tc>
          <w:tcPr>
            <w:tcW w:w="694" w:type="pct"/>
            <w:tcBorders>
              <w:top w:val="nil"/>
              <w:left w:val="nil"/>
              <w:bottom w:val="nil"/>
              <w:right w:val="single" w:sz="4" w:space="0" w:color="auto"/>
            </w:tcBorders>
            <w:hideMark/>
          </w:tcPr>
          <w:p w14:paraId="3078A8B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12,507,702,920</w:t>
            </w:r>
          </w:p>
        </w:tc>
      </w:tr>
      <w:tr w:rsidR="00CB04CD" w:rsidRPr="00E84DBE" w14:paraId="1812AE1F" w14:textId="77777777" w:rsidTr="00CB04CD">
        <w:trPr>
          <w:trHeight w:val="20"/>
        </w:trPr>
        <w:tc>
          <w:tcPr>
            <w:tcW w:w="126" w:type="pct"/>
            <w:tcBorders>
              <w:top w:val="nil"/>
              <w:left w:val="single" w:sz="4" w:space="0" w:color="auto"/>
              <w:bottom w:val="nil"/>
              <w:right w:val="nil"/>
            </w:tcBorders>
            <w:noWrap/>
            <w:hideMark/>
          </w:tcPr>
          <w:p w14:paraId="4EB3F89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6954EAE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179" w:type="pct"/>
            <w:tcBorders>
              <w:top w:val="nil"/>
              <w:left w:val="nil"/>
              <w:bottom w:val="nil"/>
              <w:right w:val="single" w:sz="4" w:space="0" w:color="auto"/>
            </w:tcBorders>
            <w:hideMark/>
          </w:tcPr>
          <w:p w14:paraId="79C3D01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Productos</w:t>
            </w:r>
          </w:p>
        </w:tc>
        <w:tc>
          <w:tcPr>
            <w:tcW w:w="423" w:type="pct"/>
            <w:tcBorders>
              <w:top w:val="nil"/>
              <w:left w:val="single" w:sz="4" w:space="0" w:color="auto"/>
              <w:bottom w:val="nil"/>
              <w:right w:val="single" w:sz="4" w:space="0" w:color="auto"/>
            </w:tcBorders>
            <w:hideMark/>
          </w:tcPr>
          <w:p w14:paraId="6813FDF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687,611,565</w:t>
            </w:r>
          </w:p>
        </w:tc>
        <w:tc>
          <w:tcPr>
            <w:tcW w:w="584" w:type="pct"/>
            <w:tcBorders>
              <w:top w:val="nil"/>
              <w:left w:val="nil"/>
              <w:bottom w:val="nil"/>
              <w:right w:val="single" w:sz="4" w:space="0" w:color="auto"/>
            </w:tcBorders>
            <w:hideMark/>
          </w:tcPr>
          <w:p w14:paraId="6201E7E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865,508,485</w:t>
            </w:r>
          </w:p>
        </w:tc>
        <w:tc>
          <w:tcPr>
            <w:tcW w:w="584" w:type="pct"/>
            <w:tcBorders>
              <w:top w:val="nil"/>
              <w:left w:val="nil"/>
              <w:bottom w:val="nil"/>
              <w:right w:val="single" w:sz="4" w:space="0" w:color="auto"/>
            </w:tcBorders>
            <w:hideMark/>
          </w:tcPr>
          <w:p w14:paraId="7E29A11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940,469,774</w:t>
            </w:r>
          </w:p>
        </w:tc>
        <w:tc>
          <w:tcPr>
            <w:tcW w:w="584" w:type="pct"/>
            <w:tcBorders>
              <w:top w:val="nil"/>
              <w:left w:val="nil"/>
              <w:bottom w:val="nil"/>
              <w:right w:val="single" w:sz="4" w:space="0" w:color="auto"/>
            </w:tcBorders>
            <w:hideMark/>
          </w:tcPr>
          <w:p w14:paraId="1E14EC7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743,171,688</w:t>
            </w:r>
          </w:p>
        </w:tc>
        <w:tc>
          <w:tcPr>
            <w:tcW w:w="673" w:type="pct"/>
            <w:tcBorders>
              <w:top w:val="nil"/>
              <w:left w:val="nil"/>
              <w:bottom w:val="nil"/>
              <w:right w:val="single" w:sz="4" w:space="0" w:color="auto"/>
            </w:tcBorders>
            <w:hideMark/>
          </w:tcPr>
          <w:p w14:paraId="23C011E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611,956,686</w:t>
            </w:r>
          </w:p>
        </w:tc>
        <w:tc>
          <w:tcPr>
            <w:tcW w:w="694" w:type="pct"/>
            <w:tcBorders>
              <w:top w:val="nil"/>
              <w:left w:val="nil"/>
              <w:bottom w:val="nil"/>
              <w:right w:val="single" w:sz="4" w:space="0" w:color="auto"/>
            </w:tcBorders>
            <w:hideMark/>
          </w:tcPr>
          <w:p w14:paraId="1A7BBD1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872,896,280</w:t>
            </w:r>
          </w:p>
        </w:tc>
      </w:tr>
      <w:tr w:rsidR="00CB04CD" w:rsidRPr="00E84DBE" w14:paraId="06756581" w14:textId="77777777" w:rsidTr="00CB04CD">
        <w:trPr>
          <w:trHeight w:val="20"/>
        </w:trPr>
        <w:tc>
          <w:tcPr>
            <w:tcW w:w="126" w:type="pct"/>
            <w:tcBorders>
              <w:top w:val="nil"/>
              <w:left w:val="single" w:sz="4" w:space="0" w:color="auto"/>
              <w:bottom w:val="nil"/>
              <w:right w:val="nil"/>
            </w:tcBorders>
            <w:noWrap/>
            <w:hideMark/>
          </w:tcPr>
          <w:p w14:paraId="1FAE91A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0716D54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F.</w:t>
            </w:r>
          </w:p>
        </w:tc>
        <w:tc>
          <w:tcPr>
            <w:tcW w:w="1179" w:type="pct"/>
            <w:tcBorders>
              <w:top w:val="nil"/>
              <w:left w:val="nil"/>
              <w:bottom w:val="nil"/>
              <w:right w:val="single" w:sz="4" w:space="0" w:color="auto"/>
            </w:tcBorders>
            <w:hideMark/>
          </w:tcPr>
          <w:p w14:paraId="12014A0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Aprovechamientos</w:t>
            </w:r>
          </w:p>
        </w:tc>
        <w:tc>
          <w:tcPr>
            <w:tcW w:w="423" w:type="pct"/>
            <w:tcBorders>
              <w:top w:val="nil"/>
              <w:left w:val="single" w:sz="4" w:space="0" w:color="auto"/>
              <w:bottom w:val="nil"/>
              <w:right w:val="single" w:sz="4" w:space="0" w:color="auto"/>
            </w:tcBorders>
            <w:hideMark/>
          </w:tcPr>
          <w:p w14:paraId="5680E53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3,703,412,946</w:t>
            </w:r>
          </w:p>
        </w:tc>
        <w:tc>
          <w:tcPr>
            <w:tcW w:w="584" w:type="pct"/>
            <w:tcBorders>
              <w:top w:val="nil"/>
              <w:left w:val="nil"/>
              <w:bottom w:val="nil"/>
              <w:right w:val="single" w:sz="4" w:space="0" w:color="auto"/>
            </w:tcBorders>
            <w:hideMark/>
          </w:tcPr>
          <w:p w14:paraId="29E5B16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3,142,834,382</w:t>
            </w:r>
          </w:p>
        </w:tc>
        <w:tc>
          <w:tcPr>
            <w:tcW w:w="584" w:type="pct"/>
            <w:tcBorders>
              <w:top w:val="nil"/>
              <w:left w:val="nil"/>
              <w:bottom w:val="nil"/>
              <w:right w:val="single" w:sz="4" w:space="0" w:color="auto"/>
            </w:tcBorders>
            <w:hideMark/>
          </w:tcPr>
          <w:p w14:paraId="6BD3175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3,637,934,599</w:t>
            </w:r>
          </w:p>
        </w:tc>
        <w:tc>
          <w:tcPr>
            <w:tcW w:w="584" w:type="pct"/>
            <w:tcBorders>
              <w:top w:val="nil"/>
              <w:left w:val="nil"/>
              <w:bottom w:val="nil"/>
              <w:right w:val="single" w:sz="4" w:space="0" w:color="auto"/>
            </w:tcBorders>
            <w:hideMark/>
          </w:tcPr>
          <w:p w14:paraId="1C32CEB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2,460,735,348</w:t>
            </w:r>
          </w:p>
        </w:tc>
        <w:tc>
          <w:tcPr>
            <w:tcW w:w="673" w:type="pct"/>
            <w:tcBorders>
              <w:top w:val="nil"/>
              <w:left w:val="nil"/>
              <w:bottom w:val="nil"/>
              <w:right w:val="single" w:sz="4" w:space="0" w:color="auto"/>
            </w:tcBorders>
            <w:hideMark/>
          </w:tcPr>
          <w:p w14:paraId="64318DE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5,593,747,583</w:t>
            </w:r>
          </w:p>
        </w:tc>
        <w:tc>
          <w:tcPr>
            <w:tcW w:w="694" w:type="pct"/>
            <w:tcBorders>
              <w:top w:val="nil"/>
              <w:left w:val="nil"/>
              <w:bottom w:val="nil"/>
              <w:right w:val="single" w:sz="4" w:space="0" w:color="auto"/>
            </w:tcBorders>
            <w:hideMark/>
          </w:tcPr>
          <w:p w14:paraId="5C1E036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2,233,056,044</w:t>
            </w:r>
          </w:p>
        </w:tc>
      </w:tr>
      <w:tr w:rsidR="00CB04CD" w:rsidRPr="00E84DBE" w14:paraId="310D6F23" w14:textId="77777777" w:rsidTr="00CB04CD">
        <w:trPr>
          <w:trHeight w:val="20"/>
        </w:trPr>
        <w:tc>
          <w:tcPr>
            <w:tcW w:w="126" w:type="pct"/>
            <w:tcBorders>
              <w:top w:val="nil"/>
              <w:left w:val="single" w:sz="4" w:space="0" w:color="auto"/>
              <w:bottom w:val="nil"/>
              <w:right w:val="nil"/>
            </w:tcBorders>
            <w:noWrap/>
            <w:hideMark/>
          </w:tcPr>
          <w:p w14:paraId="60C3CC9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28CCF0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G.</w:t>
            </w:r>
          </w:p>
        </w:tc>
        <w:tc>
          <w:tcPr>
            <w:tcW w:w="1179" w:type="pct"/>
            <w:tcBorders>
              <w:top w:val="nil"/>
              <w:left w:val="nil"/>
              <w:bottom w:val="nil"/>
              <w:right w:val="single" w:sz="4" w:space="0" w:color="auto"/>
            </w:tcBorders>
            <w:hideMark/>
          </w:tcPr>
          <w:p w14:paraId="7EEF9B1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por Venta de Bienes y Prestación de Servicios</w:t>
            </w:r>
          </w:p>
        </w:tc>
        <w:tc>
          <w:tcPr>
            <w:tcW w:w="423" w:type="pct"/>
            <w:tcBorders>
              <w:top w:val="nil"/>
              <w:left w:val="single" w:sz="4" w:space="0" w:color="auto"/>
              <w:bottom w:val="nil"/>
              <w:right w:val="single" w:sz="4" w:space="0" w:color="auto"/>
            </w:tcBorders>
            <w:vAlign w:val="center"/>
            <w:hideMark/>
          </w:tcPr>
          <w:p w14:paraId="491D566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30,742,706,000</w:t>
            </w:r>
          </w:p>
        </w:tc>
        <w:tc>
          <w:tcPr>
            <w:tcW w:w="584" w:type="pct"/>
            <w:tcBorders>
              <w:top w:val="nil"/>
              <w:left w:val="nil"/>
              <w:bottom w:val="nil"/>
              <w:right w:val="single" w:sz="4" w:space="0" w:color="auto"/>
            </w:tcBorders>
            <w:vAlign w:val="center"/>
            <w:hideMark/>
          </w:tcPr>
          <w:p w14:paraId="0588D5A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29,232,663,000</w:t>
            </w:r>
          </w:p>
        </w:tc>
        <w:tc>
          <w:tcPr>
            <w:tcW w:w="584" w:type="pct"/>
            <w:tcBorders>
              <w:top w:val="nil"/>
              <w:left w:val="nil"/>
              <w:bottom w:val="nil"/>
              <w:right w:val="single" w:sz="4" w:space="0" w:color="auto"/>
            </w:tcBorders>
            <w:vAlign w:val="center"/>
            <w:hideMark/>
          </w:tcPr>
          <w:p w14:paraId="6D78795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21,167,544,000</w:t>
            </w:r>
          </w:p>
        </w:tc>
        <w:tc>
          <w:tcPr>
            <w:tcW w:w="584" w:type="pct"/>
            <w:tcBorders>
              <w:top w:val="nil"/>
              <w:left w:val="nil"/>
              <w:bottom w:val="nil"/>
              <w:right w:val="single" w:sz="4" w:space="0" w:color="auto"/>
            </w:tcBorders>
            <w:vAlign w:val="center"/>
            <w:hideMark/>
          </w:tcPr>
          <w:p w14:paraId="41D5235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11,036,336,000</w:t>
            </w:r>
          </w:p>
        </w:tc>
        <w:tc>
          <w:tcPr>
            <w:tcW w:w="673" w:type="pct"/>
            <w:tcBorders>
              <w:top w:val="nil"/>
              <w:left w:val="nil"/>
              <w:bottom w:val="nil"/>
              <w:right w:val="single" w:sz="4" w:space="0" w:color="auto"/>
            </w:tcBorders>
            <w:vAlign w:val="center"/>
            <w:hideMark/>
          </w:tcPr>
          <w:p w14:paraId="28B9240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11,077,255,000</w:t>
            </w:r>
          </w:p>
        </w:tc>
        <w:tc>
          <w:tcPr>
            <w:tcW w:w="694" w:type="pct"/>
            <w:tcBorders>
              <w:top w:val="nil"/>
              <w:left w:val="nil"/>
              <w:bottom w:val="nil"/>
              <w:right w:val="single" w:sz="4" w:space="0" w:color="auto"/>
            </w:tcBorders>
            <w:vAlign w:val="center"/>
            <w:hideMark/>
          </w:tcPr>
          <w:p w14:paraId="61A9256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4,031,360,702</w:t>
            </w:r>
          </w:p>
        </w:tc>
      </w:tr>
      <w:tr w:rsidR="00CB04CD" w:rsidRPr="00E84DBE" w14:paraId="56E5D578" w14:textId="77777777" w:rsidTr="00CB04CD">
        <w:trPr>
          <w:trHeight w:val="20"/>
        </w:trPr>
        <w:tc>
          <w:tcPr>
            <w:tcW w:w="126" w:type="pct"/>
            <w:tcBorders>
              <w:top w:val="nil"/>
              <w:left w:val="single" w:sz="4" w:space="0" w:color="auto"/>
              <w:bottom w:val="nil"/>
              <w:right w:val="nil"/>
            </w:tcBorders>
            <w:noWrap/>
            <w:hideMark/>
          </w:tcPr>
          <w:p w14:paraId="6B6D4F7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B8E08C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H.</w:t>
            </w:r>
          </w:p>
        </w:tc>
        <w:tc>
          <w:tcPr>
            <w:tcW w:w="1179" w:type="pct"/>
            <w:tcBorders>
              <w:top w:val="nil"/>
              <w:left w:val="nil"/>
              <w:bottom w:val="nil"/>
              <w:right w:val="single" w:sz="4" w:space="0" w:color="auto"/>
            </w:tcBorders>
            <w:hideMark/>
          </w:tcPr>
          <w:p w14:paraId="72F2B87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xml:space="preserve">Participaciones </w:t>
            </w:r>
            <w:r w:rsidRPr="00E84DBE">
              <w:rPr>
                <w:rFonts w:eastAsia="Times New Roman" w:cs="Arial"/>
                <w:sz w:val="14"/>
                <w:szCs w:val="14"/>
                <w:vertAlign w:val="superscript"/>
                <w:lang w:eastAsia="es-MX"/>
              </w:rPr>
              <w:t>3</w:t>
            </w:r>
          </w:p>
        </w:tc>
        <w:tc>
          <w:tcPr>
            <w:tcW w:w="423" w:type="pct"/>
            <w:tcBorders>
              <w:top w:val="nil"/>
              <w:left w:val="single" w:sz="4" w:space="0" w:color="auto"/>
              <w:bottom w:val="nil"/>
              <w:right w:val="single" w:sz="4" w:space="0" w:color="auto"/>
            </w:tcBorders>
            <w:hideMark/>
          </w:tcPr>
          <w:p w14:paraId="649AA93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95,472,246,939</w:t>
            </w:r>
          </w:p>
        </w:tc>
        <w:tc>
          <w:tcPr>
            <w:tcW w:w="584" w:type="pct"/>
            <w:tcBorders>
              <w:top w:val="nil"/>
              <w:left w:val="nil"/>
              <w:bottom w:val="nil"/>
              <w:right w:val="single" w:sz="4" w:space="0" w:color="auto"/>
            </w:tcBorders>
            <w:hideMark/>
          </w:tcPr>
          <w:p w14:paraId="1C5A2E4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108,068,098,566</w:t>
            </w:r>
          </w:p>
        </w:tc>
        <w:tc>
          <w:tcPr>
            <w:tcW w:w="584" w:type="pct"/>
            <w:tcBorders>
              <w:top w:val="nil"/>
              <w:left w:val="nil"/>
              <w:bottom w:val="nil"/>
              <w:right w:val="single" w:sz="4" w:space="0" w:color="auto"/>
            </w:tcBorders>
            <w:hideMark/>
          </w:tcPr>
          <w:p w14:paraId="4AAEDD7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117,559,140,350</w:t>
            </w:r>
          </w:p>
        </w:tc>
        <w:tc>
          <w:tcPr>
            <w:tcW w:w="584" w:type="pct"/>
            <w:tcBorders>
              <w:top w:val="nil"/>
              <w:left w:val="nil"/>
              <w:bottom w:val="nil"/>
              <w:right w:val="single" w:sz="4" w:space="0" w:color="auto"/>
            </w:tcBorders>
            <w:hideMark/>
          </w:tcPr>
          <w:p w14:paraId="31741A5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121,004,716,006</w:t>
            </w:r>
          </w:p>
        </w:tc>
        <w:tc>
          <w:tcPr>
            <w:tcW w:w="673" w:type="pct"/>
            <w:tcBorders>
              <w:top w:val="nil"/>
              <w:left w:val="nil"/>
              <w:bottom w:val="nil"/>
              <w:right w:val="single" w:sz="4" w:space="0" w:color="auto"/>
            </w:tcBorders>
            <w:hideMark/>
          </w:tcPr>
          <w:p w14:paraId="4E23673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120,248,680,482</w:t>
            </w:r>
          </w:p>
        </w:tc>
        <w:tc>
          <w:tcPr>
            <w:tcW w:w="694" w:type="pct"/>
            <w:tcBorders>
              <w:top w:val="nil"/>
              <w:left w:val="nil"/>
              <w:bottom w:val="nil"/>
              <w:right w:val="single" w:sz="4" w:space="0" w:color="auto"/>
            </w:tcBorders>
            <w:hideMark/>
          </w:tcPr>
          <w:p w14:paraId="3F3B097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133,545,122,450</w:t>
            </w:r>
          </w:p>
        </w:tc>
      </w:tr>
      <w:tr w:rsidR="00CB04CD" w:rsidRPr="00E84DBE" w14:paraId="3BCC05C5" w14:textId="77777777" w:rsidTr="00CB04CD">
        <w:trPr>
          <w:trHeight w:val="20"/>
        </w:trPr>
        <w:tc>
          <w:tcPr>
            <w:tcW w:w="126" w:type="pct"/>
            <w:tcBorders>
              <w:top w:val="nil"/>
              <w:left w:val="single" w:sz="4" w:space="0" w:color="auto"/>
              <w:bottom w:val="nil"/>
              <w:right w:val="nil"/>
            </w:tcBorders>
            <w:noWrap/>
            <w:hideMark/>
          </w:tcPr>
          <w:p w14:paraId="4A3B36E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CB5513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w:t>
            </w:r>
          </w:p>
        </w:tc>
        <w:tc>
          <w:tcPr>
            <w:tcW w:w="1179" w:type="pct"/>
            <w:tcBorders>
              <w:top w:val="nil"/>
              <w:left w:val="nil"/>
              <w:bottom w:val="nil"/>
              <w:right w:val="single" w:sz="4" w:space="0" w:color="auto"/>
            </w:tcBorders>
            <w:hideMark/>
          </w:tcPr>
          <w:p w14:paraId="32F9B85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Incentivos Derivados de la Colaboración Fiscal</w:t>
            </w:r>
          </w:p>
        </w:tc>
        <w:tc>
          <w:tcPr>
            <w:tcW w:w="423" w:type="pct"/>
            <w:tcBorders>
              <w:top w:val="nil"/>
              <w:left w:val="single" w:sz="4" w:space="0" w:color="auto"/>
              <w:bottom w:val="nil"/>
              <w:right w:val="single" w:sz="4" w:space="0" w:color="auto"/>
            </w:tcBorders>
            <w:vAlign w:val="center"/>
            <w:hideMark/>
          </w:tcPr>
          <w:p w14:paraId="3122E4F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7,071,585,478</w:t>
            </w:r>
          </w:p>
        </w:tc>
        <w:tc>
          <w:tcPr>
            <w:tcW w:w="584" w:type="pct"/>
            <w:tcBorders>
              <w:top w:val="nil"/>
              <w:left w:val="nil"/>
              <w:bottom w:val="nil"/>
              <w:right w:val="single" w:sz="4" w:space="0" w:color="auto"/>
            </w:tcBorders>
            <w:vAlign w:val="center"/>
            <w:hideMark/>
          </w:tcPr>
          <w:p w14:paraId="22B7748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8,378,793,206</w:t>
            </w:r>
          </w:p>
        </w:tc>
        <w:tc>
          <w:tcPr>
            <w:tcW w:w="584" w:type="pct"/>
            <w:tcBorders>
              <w:top w:val="nil"/>
              <w:left w:val="nil"/>
              <w:bottom w:val="nil"/>
              <w:right w:val="single" w:sz="4" w:space="0" w:color="auto"/>
            </w:tcBorders>
            <w:vAlign w:val="center"/>
            <w:hideMark/>
          </w:tcPr>
          <w:p w14:paraId="72FE6F3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9,006,445,224</w:t>
            </w:r>
          </w:p>
        </w:tc>
        <w:tc>
          <w:tcPr>
            <w:tcW w:w="584" w:type="pct"/>
            <w:tcBorders>
              <w:top w:val="nil"/>
              <w:left w:val="nil"/>
              <w:bottom w:val="nil"/>
              <w:right w:val="single" w:sz="4" w:space="0" w:color="auto"/>
            </w:tcBorders>
            <w:vAlign w:val="center"/>
            <w:hideMark/>
          </w:tcPr>
          <w:p w14:paraId="25FD0A0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5,837,978,266</w:t>
            </w:r>
          </w:p>
        </w:tc>
        <w:tc>
          <w:tcPr>
            <w:tcW w:w="673" w:type="pct"/>
            <w:tcBorders>
              <w:top w:val="nil"/>
              <w:left w:val="nil"/>
              <w:bottom w:val="nil"/>
              <w:right w:val="single" w:sz="4" w:space="0" w:color="auto"/>
            </w:tcBorders>
            <w:vAlign w:val="center"/>
            <w:hideMark/>
          </w:tcPr>
          <w:p w14:paraId="7775F31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6,294,114,502</w:t>
            </w:r>
          </w:p>
        </w:tc>
        <w:tc>
          <w:tcPr>
            <w:tcW w:w="694" w:type="pct"/>
            <w:tcBorders>
              <w:top w:val="nil"/>
              <w:left w:val="nil"/>
              <w:bottom w:val="nil"/>
              <w:right w:val="single" w:sz="4" w:space="0" w:color="auto"/>
            </w:tcBorders>
            <w:vAlign w:val="center"/>
            <w:hideMark/>
          </w:tcPr>
          <w:p w14:paraId="02FCEAE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7,369,608,845</w:t>
            </w:r>
          </w:p>
        </w:tc>
      </w:tr>
      <w:tr w:rsidR="00CB04CD" w:rsidRPr="00E84DBE" w14:paraId="212DBFD6" w14:textId="77777777" w:rsidTr="00CB04CD">
        <w:trPr>
          <w:trHeight w:val="20"/>
        </w:trPr>
        <w:tc>
          <w:tcPr>
            <w:tcW w:w="126" w:type="pct"/>
            <w:tcBorders>
              <w:top w:val="nil"/>
              <w:left w:val="single" w:sz="4" w:space="0" w:color="auto"/>
              <w:bottom w:val="nil"/>
              <w:right w:val="nil"/>
            </w:tcBorders>
            <w:noWrap/>
            <w:hideMark/>
          </w:tcPr>
          <w:p w14:paraId="1D06215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0F3A287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J.</w:t>
            </w:r>
          </w:p>
        </w:tc>
        <w:tc>
          <w:tcPr>
            <w:tcW w:w="1179" w:type="pct"/>
            <w:tcBorders>
              <w:top w:val="nil"/>
              <w:left w:val="nil"/>
              <w:bottom w:val="nil"/>
              <w:right w:val="single" w:sz="4" w:space="0" w:color="auto"/>
            </w:tcBorders>
            <w:hideMark/>
          </w:tcPr>
          <w:p w14:paraId="452EAAC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Transferencias y Asignaciones</w:t>
            </w:r>
          </w:p>
        </w:tc>
        <w:tc>
          <w:tcPr>
            <w:tcW w:w="423" w:type="pct"/>
            <w:tcBorders>
              <w:top w:val="nil"/>
              <w:left w:val="single" w:sz="4" w:space="0" w:color="auto"/>
              <w:bottom w:val="nil"/>
              <w:right w:val="single" w:sz="4" w:space="0" w:color="auto"/>
            </w:tcBorders>
            <w:hideMark/>
          </w:tcPr>
          <w:p w14:paraId="2A5B715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1116C0B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30EAE36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3E219FA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hideMark/>
          </w:tcPr>
          <w:p w14:paraId="2AF5E7D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hideMark/>
          </w:tcPr>
          <w:p w14:paraId="36CAE7D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061B958D" w14:textId="77777777" w:rsidTr="00CB04CD">
        <w:trPr>
          <w:trHeight w:val="20"/>
        </w:trPr>
        <w:tc>
          <w:tcPr>
            <w:tcW w:w="126" w:type="pct"/>
            <w:tcBorders>
              <w:top w:val="nil"/>
              <w:left w:val="single" w:sz="4" w:space="0" w:color="auto"/>
              <w:bottom w:val="nil"/>
              <w:right w:val="nil"/>
            </w:tcBorders>
            <w:noWrap/>
            <w:hideMark/>
          </w:tcPr>
          <w:p w14:paraId="7325313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74DDAE7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K.</w:t>
            </w:r>
          </w:p>
        </w:tc>
        <w:tc>
          <w:tcPr>
            <w:tcW w:w="1179" w:type="pct"/>
            <w:tcBorders>
              <w:top w:val="nil"/>
              <w:left w:val="nil"/>
              <w:bottom w:val="nil"/>
              <w:right w:val="single" w:sz="4" w:space="0" w:color="auto"/>
            </w:tcBorders>
            <w:hideMark/>
          </w:tcPr>
          <w:p w14:paraId="777C1BD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423" w:type="pct"/>
            <w:tcBorders>
              <w:top w:val="nil"/>
              <w:left w:val="single" w:sz="4" w:space="0" w:color="auto"/>
              <w:bottom w:val="nil"/>
              <w:right w:val="single" w:sz="4" w:space="0" w:color="auto"/>
            </w:tcBorders>
            <w:hideMark/>
          </w:tcPr>
          <w:p w14:paraId="6F461CD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1,273,726,295</w:t>
            </w:r>
          </w:p>
        </w:tc>
        <w:tc>
          <w:tcPr>
            <w:tcW w:w="584" w:type="pct"/>
            <w:tcBorders>
              <w:top w:val="nil"/>
              <w:left w:val="nil"/>
              <w:bottom w:val="nil"/>
              <w:right w:val="single" w:sz="4" w:space="0" w:color="auto"/>
            </w:tcBorders>
            <w:hideMark/>
          </w:tcPr>
          <w:p w14:paraId="6FCD546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1,274,792,475</w:t>
            </w:r>
          </w:p>
        </w:tc>
        <w:tc>
          <w:tcPr>
            <w:tcW w:w="584" w:type="pct"/>
            <w:tcBorders>
              <w:top w:val="nil"/>
              <w:left w:val="nil"/>
              <w:bottom w:val="nil"/>
              <w:right w:val="single" w:sz="4" w:space="0" w:color="auto"/>
            </w:tcBorders>
            <w:hideMark/>
          </w:tcPr>
          <w:p w14:paraId="332C97D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50CAD10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hideMark/>
          </w:tcPr>
          <w:p w14:paraId="0FC1C7E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hideMark/>
          </w:tcPr>
          <w:p w14:paraId="181F5C1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5808005E" w14:textId="77777777" w:rsidTr="00CB04CD">
        <w:trPr>
          <w:trHeight w:val="20"/>
        </w:trPr>
        <w:tc>
          <w:tcPr>
            <w:tcW w:w="126" w:type="pct"/>
            <w:tcBorders>
              <w:top w:val="nil"/>
              <w:left w:val="single" w:sz="4" w:space="0" w:color="auto"/>
              <w:bottom w:val="nil"/>
              <w:right w:val="nil"/>
            </w:tcBorders>
            <w:noWrap/>
            <w:hideMark/>
          </w:tcPr>
          <w:p w14:paraId="6B44FD7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0BD984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L.</w:t>
            </w:r>
          </w:p>
        </w:tc>
        <w:tc>
          <w:tcPr>
            <w:tcW w:w="1179" w:type="pct"/>
            <w:tcBorders>
              <w:top w:val="nil"/>
              <w:left w:val="nil"/>
              <w:bottom w:val="nil"/>
              <w:right w:val="single" w:sz="4" w:space="0" w:color="auto"/>
            </w:tcBorders>
            <w:hideMark/>
          </w:tcPr>
          <w:p w14:paraId="1486A23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Otros Ingresos de Libre Disposición</w:t>
            </w:r>
          </w:p>
        </w:tc>
        <w:tc>
          <w:tcPr>
            <w:tcW w:w="423" w:type="pct"/>
            <w:tcBorders>
              <w:top w:val="nil"/>
              <w:left w:val="single" w:sz="4" w:space="0" w:color="auto"/>
              <w:bottom w:val="nil"/>
              <w:right w:val="single" w:sz="4" w:space="0" w:color="auto"/>
            </w:tcBorders>
            <w:hideMark/>
          </w:tcPr>
          <w:p w14:paraId="0C0934E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75,168,000</w:t>
            </w:r>
          </w:p>
        </w:tc>
        <w:tc>
          <w:tcPr>
            <w:tcW w:w="584" w:type="pct"/>
            <w:tcBorders>
              <w:top w:val="nil"/>
              <w:left w:val="nil"/>
              <w:bottom w:val="nil"/>
              <w:right w:val="single" w:sz="4" w:space="0" w:color="auto"/>
            </w:tcBorders>
            <w:hideMark/>
          </w:tcPr>
          <w:p w14:paraId="58403CF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4,681,000</w:t>
            </w:r>
          </w:p>
        </w:tc>
        <w:tc>
          <w:tcPr>
            <w:tcW w:w="584" w:type="pct"/>
            <w:tcBorders>
              <w:top w:val="nil"/>
              <w:left w:val="nil"/>
              <w:bottom w:val="nil"/>
              <w:right w:val="single" w:sz="4" w:space="0" w:color="auto"/>
            </w:tcBorders>
            <w:hideMark/>
          </w:tcPr>
          <w:p w14:paraId="3370AE6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62,110,000</w:t>
            </w:r>
          </w:p>
        </w:tc>
        <w:tc>
          <w:tcPr>
            <w:tcW w:w="584" w:type="pct"/>
            <w:tcBorders>
              <w:top w:val="nil"/>
              <w:left w:val="nil"/>
              <w:bottom w:val="nil"/>
              <w:right w:val="single" w:sz="4" w:space="0" w:color="auto"/>
            </w:tcBorders>
            <w:hideMark/>
          </w:tcPr>
          <w:p w14:paraId="04DF358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hideMark/>
          </w:tcPr>
          <w:p w14:paraId="021557E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hideMark/>
          </w:tcPr>
          <w:p w14:paraId="07DA2D4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1476A7EC" w14:textId="77777777" w:rsidTr="00CB04CD">
        <w:trPr>
          <w:trHeight w:val="20"/>
        </w:trPr>
        <w:tc>
          <w:tcPr>
            <w:tcW w:w="126" w:type="pct"/>
            <w:tcBorders>
              <w:top w:val="nil"/>
              <w:left w:val="single" w:sz="4" w:space="0" w:color="auto"/>
              <w:bottom w:val="nil"/>
              <w:right w:val="nil"/>
            </w:tcBorders>
            <w:noWrap/>
            <w:hideMark/>
          </w:tcPr>
          <w:p w14:paraId="4603057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7CF62D73"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0B3A98F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hideMark/>
          </w:tcPr>
          <w:p w14:paraId="620A8C0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49A9C12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1063D74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6145832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hideMark/>
          </w:tcPr>
          <w:p w14:paraId="42C60F6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hideMark/>
          </w:tcPr>
          <w:p w14:paraId="434A4CF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075B07AA" w14:textId="77777777" w:rsidTr="00CB04CD">
        <w:trPr>
          <w:trHeight w:val="20"/>
        </w:trPr>
        <w:tc>
          <w:tcPr>
            <w:tcW w:w="126" w:type="pct"/>
            <w:tcBorders>
              <w:top w:val="nil"/>
              <w:left w:val="single" w:sz="4" w:space="0" w:color="auto"/>
              <w:bottom w:val="nil"/>
              <w:right w:val="nil"/>
            </w:tcBorders>
            <w:noWrap/>
            <w:hideMark/>
          </w:tcPr>
          <w:p w14:paraId="2714D191"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2.</w:t>
            </w:r>
          </w:p>
        </w:tc>
        <w:tc>
          <w:tcPr>
            <w:tcW w:w="1332" w:type="pct"/>
            <w:gridSpan w:val="2"/>
            <w:tcBorders>
              <w:top w:val="nil"/>
              <w:left w:val="nil"/>
              <w:bottom w:val="nil"/>
              <w:right w:val="single" w:sz="4" w:space="0" w:color="000000"/>
            </w:tcBorders>
            <w:hideMark/>
          </w:tcPr>
          <w:p w14:paraId="64B8706E"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Transferencias Federales Etiquetadas</w:t>
            </w:r>
            <w:r w:rsidRPr="00E84DBE">
              <w:rPr>
                <w:rFonts w:eastAsia="Times New Roman" w:cs="Arial"/>
                <w:b/>
                <w:bCs/>
                <w:sz w:val="14"/>
                <w:szCs w:val="14"/>
                <w:lang w:eastAsia="es-MX"/>
              </w:rPr>
              <w:br/>
              <w:t>(2=A+B+C+D+E)</w:t>
            </w:r>
          </w:p>
        </w:tc>
        <w:tc>
          <w:tcPr>
            <w:tcW w:w="423" w:type="pct"/>
            <w:tcBorders>
              <w:top w:val="nil"/>
              <w:left w:val="single" w:sz="4" w:space="0" w:color="auto"/>
              <w:bottom w:val="nil"/>
              <w:right w:val="single" w:sz="4" w:space="0" w:color="auto"/>
            </w:tcBorders>
            <w:vAlign w:val="center"/>
            <w:hideMark/>
          </w:tcPr>
          <w:p w14:paraId="12BE141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100,002,897,181</w:t>
            </w:r>
          </w:p>
        </w:tc>
        <w:tc>
          <w:tcPr>
            <w:tcW w:w="584" w:type="pct"/>
            <w:tcBorders>
              <w:top w:val="nil"/>
              <w:left w:val="nil"/>
              <w:bottom w:val="nil"/>
              <w:right w:val="single" w:sz="4" w:space="0" w:color="auto"/>
            </w:tcBorders>
            <w:vAlign w:val="center"/>
            <w:hideMark/>
          </w:tcPr>
          <w:p w14:paraId="2116627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103,582,207,816</w:t>
            </w:r>
          </w:p>
        </w:tc>
        <w:tc>
          <w:tcPr>
            <w:tcW w:w="584" w:type="pct"/>
            <w:tcBorders>
              <w:top w:val="nil"/>
              <w:left w:val="nil"/>
              <w:bottom w:val="nil"/>
              <w:right w:val="single" w:sz="4" w:space="0" w:color="auto"/>
            </w:tcBorders>
            <w:vAlign w:val="center"/>
            <w:hideMark/>
          </w:tcPr>
          <w:p w14:paraId="72CB74F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97,498,736,071</w:t>
            </w:r>
          </w:p>
        </w:tc>
        <w:tc>
          <w:tcPr>
            <w:tcW w:w="584" w:type="pct"/>
            <w:tcBorders>
              <w:top w:val="nil"/>
              <w:left w:val="nil"/>
              <w:bottom w:val="nil"/>
              <w:right w:val="single" w:sz="4" w:space="0" w:color="auto"/>
            </w:tcBorders>
            <w:vAlign w:val="center"/>
            <w:hideMark/>
          </w:tcPr>
          <w:p w14:paraId="0252575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96,145,660,721</w:t>
            </w:r>
          </w:p>
        </w:tc>
        <w:tc>
          <w:tcPr>
            <w:tcW w:w="673" w:type="pct"/>
            <w:tcBorders>
              <w:top w:val="nil"/>
              <w:left w:val="nil"/>
              <w:bottom w:val="nil"/>
              <w:right w:val="single" w:sz="4" w:space="0" w:color="auto"/>
            </w:tcBorders>
            <w:vAlign w:val="center"/>
            <w:hideMark/>
          </w:tcPr>
          <w:p w14:paraId="2BED359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97,577,856,690</w:t>
            </w:r>
          </w:p>
        </w:tc>
        <w:tc>
          <w:tcPr>
            <w:tcW w:w="694" w:type="pct"/>
            <w:tcBorders>
              <w:top w:val="nil"/>
              <w:left w:val="nil"/>
              <w:bottom w:val="nil"/>
              <w:right w:val="single" w:sz="4" w:space="0" w:color="auto"/>
            </w:tcBorders>
            <w:vAlign w:val="center"/>
            <w:hideMark/>
          </w:tcPr>
          <w:p w14:paraId="462EAAC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99,961,631,498</w:t>
            </w:r>
          </w:p>
        </w:tc>
      </w:tr>
      <w:tr w:rsidR="00CB04CD" w:rsidRPr="00E84DBE" w14:paraId="2B70225E" w14:textId="77777777" w:rsidTr="00CB04CD">
        <w:trPr>
          <w:trHeight w:val="20"/>
        </w:trPr>
        <w:tc>
          <w:tcPr>
            <w:tcW w:w="126" w:type="pct"/>
            <w:tcBorders>
              <w:top w:val="nil"/>
              <w:left w:val="single" w:sz="4" w:space="0" w:color="auto"/>
              <w:bottom w:val="nil"/>
              <w:right w:val="nil"/>
            </w:tcBorders>
            <w:noWrap/>
            <w:hideMark/>
          </w:tcPr>
          <w:p w14:paraId="4A41B709"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5617A989"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64CFE1BB"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1613B18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C8E65C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4DE3660C"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27CEC3A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4233FF8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5FDFE56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0701AB99" w14:textId="77777777" w:rsidTr="00CB04CD">
        <w:trPr>
          <w:trHeight w:val="20"/>
        </w:trPr>
        <w:tc>
          <w:tcPr>
            <w:tcW w:w="126" w:type="pct"/>
            <w:tcBorders>
              <w:top w:val="nil"/>
              <w:left w:val="single" w:sz="4" w:space="0" w:color="auto"/>
              <w:bottom w:val="nil"/>
              <w:right w:val="nil"/>
            </w:tcBorders>
            <w:noWrap/>
            <w:hideMark/>
          </w:tcPr>
          <w:p w14:paraId="07E33F5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340212F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179" w:type="pct"/>
            <w:tcBorders>
              <w:top w:val="nil"/>
              <w:left w:val="nil"/>
              <w:bottom w:val="nil"/>
              <w:right w:val="single" w:sz="4" w:space="0" w:color="auto"/>
            </w:tcBorders>
            <w:hideMark/>
          </w:tcPr>
          <w:p w14:paraId="4E9DB10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Aportaciones</w:t>
            </w:r>
          </w:p>
        </w:tc>
        <w:tc>
          <w:tcPr>
            <w:tcW w:w="423" w:type="pct"/>
            <w:tcBorders>
              <w:top w:val="nil"/>
              <w:left w:val="single" w:sz="4" w:space="0" w:color="auto"/>
              <w:bottom w:val="nil"/>
              <w:right w:val="single" w:sz="4" w:space="0" w:color="auto"/>
            </w:tcBorders>
            <w:hideMark/>
          </w:tcPr>
          <w:p w14:paraId="129DD8C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68,708,766,028</w:t>
            </w:r>
          </w:p>
        </w:tc>
        <w:tc>
          <w:tcPr>
            <w:tcW w:w="584" w:type="pct"/>
            <w:tcBorders>
              <w:top w:val="nil"/>
              <w:left w:val="nil"/>
              <w:bottom w:val="nil"/>
              <w:right w:val="single" w:sz="4" w:space="0" w:color="auto"/>
            </w:tcBorders>
            <w:hideMark/>
          </w:tcPr>
          <w:p w14:paraId="4C910AD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73,068,977,291</w:t>
            </w:r>
          </w:p>
        </w:tc>
        <w:tc>
          <w:tcPr>
            <w:tcW w:w="584" w:type="pct"/>
            <w:tcBorders>
              <w:top w:val="nil"/>
              <w:left w:val="nil"/>
              <w:bottom w:val="nil"/>
              <w:right w:val="single" w:sz="4" w:space="0" w:color="auto"/>
            </w:tcBorders>
            <w:hideMark/>
          </w:tcPr>
          <w:p w14:paraId="735A238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78,663,943,055</w:t>
            </w:r>
          </w:p>
        </w:tc>
        <w:tc>
          <w:tcPr>
            <w:tcW w:w="584" w:type="pct"/>
            <w:tcBorders>
              <w:top w:val="nil"/>
              <w:left w:val="nil"/>
              <w:bottom w:val="nil"/>
              <w:right w:val="single" w:sz="4" w:space="0" w:color="auto"/>
            </w:tcBorders>
            <w:hideMark/>
          </w:tcPr>
          <w:p w14:paraId="64113C0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80,778,001,588</w:t>
            </w:r>
          </w:p>
        </w:tc>
        <w:tc>
          <w:tcPr>
            <w:tcW w:w="673" w:type="pct"/>
            <w:tcBorders>
              <w:top w:val="nil"/>
              <w:left w:val="nil"/>
              <w:bottom w:val="nil"/>
              <w:right w:val="single" w:sz="4" w:space="0" w:color="auto"/>
            </w:tcBorders>
            <w:hideMark/>
          </w:tcPr>
          <w:p w14:paraId="0438672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82,342,231,812</w:t>
            </w:r>
          </w:p>
        </w:tc>
        <w:tc>
          <w:tcPr>
            <w:tcW w:w="694" w:type="pct"/>
            <w:tcBorders>
              <w:top w:val="nil"/>
              <w:left w:val="nil"/>
              <w:bottom w:val="nil"/>
              <w:right w:val="single" w:sz="4" w:space="0" w:color="auto"/>
            </w:tcBorders>
            <w:hideMark/>
          </w:tcPr>
          <w:p w14:paraId="02DA2D1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87,218,957,932</w:t>
            </w:r>
          </w:p>
        </w:tc>
      </w:tr>
      <w:tr w:rsidR="00CB04CD" w:rsidRPr="00E84DBE" w14:paraId="15072C4B" w14:textId="77777777" w:rsidTr="00CB04CD">
        <w:trPr>
          <w:trHeight w:val="20"/>
        </w:trPr>
        <w:tc>
          <w:tcPr>
            <w:tcW w:w="126" w:type="pct"/>
            <w:tcBorders>
              <w:top w:val="nil"/>
              <w:left w:val="single" w:sz="4" w:space="0" w:color="auto"/>
              <w:bottom w:val="nil"/>
              <w:right w:val="nil"/>
            </w:tcBorders>
            <w:noWrap/>
            <w:hideMark/>
          </w:tcPr>
          <w:p w14:paraId="6620BBF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10D6CF3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179" w:type="pct"/>
            <w:tcBorders>
              <w:top w:val="nil"/>
              <w:left w:val="nil"/>
              <w:bottom w:val="nil"/>
              <w:right w:val="single" w:sz="4" w:space="0" w:color="auto"/>
            </w:tcBorders>
            <w:hideMark/>
          </w:tcPr>
          <w:p w14:paraId="1BD8C7F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423" w:type="pct"/>
            <w:tcBorders>
              <w:top w:val="nil"/>
              <w:left w:val="single" w:sz="4" w:space="0" w:color="auto"/>
              <w:bottom w:val="nil"/>
              <w:right w:val="single" w:sz="4" w:space="0" w:color="auto"/>
            </w:tcBorders>
            <w:hideMark/>
          </w:tcPr>
          <w:p w14:paraId="667B93F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6,543,743,705</w:t>
            </w:r>
          </w:p>
        </w:tc>
        <w:tc>
          <w:tcPr>
            <w:tcW w:w="584" w:type="pct"/>
            <w:tcBorders>
              <w:top w:val="nil"/>
              <w:left w:val="nil"/>
              <w:bottom w:val="nil"/>
              <w:right w:val="single" w:sz="4" w:space="0" w:color="auto"/>
            </w:tcBorders>
            <w:hideMark/>
          </w:tcPr>
          <w:p w14:paraId="2DE91B2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20,913,409,598</w:t>
            </w:r>
          </w:p>
        </w:tc>
        <w:tc>
          <w:tcPr>
            <w:tcW w:w="584" w:type="pct"/>
            <w:tcBorders>
              <w:top w:val="nil"/>
              <w:left w:val="nil"/>
              <w:bottom w:val="nil"/>
              <w:right w:val="single" w:sz="4" w:space="0" w:color="auto"/>
            </w:tcBorders>
            <w:hideMark/>
          </w:tcPr>
          <w:p w14:paraId="62C3F45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12,307,700,245</w:t>
            </w:r>
          </w:p>
        </w:tc>
        <w:tc>
          <w:tcPr>
            <w:tcW w:w="584" w:type="pct"/>
            <w:tcBorders>
              <w:top w:val="nil"/>
              <w:left w:val="nil"/>
              <w:bottom w:val="nil"/>
              <w:right w:val="single" w:sz="4" w:space="0" w:color="auto"/>
            </w:tcBorders>
            <w:hideMark/>
          </w:tcPr>
          <w:p w14:paraId="1280D45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11,014,311,149</w:t>
            </w:r>
          </w:p>
        </w:tc>
        <w:tc>
          <w:tcPr>
            <w:tcW w:w="673" w:type="pct"/>
            <w:tcBorders>
              <w:top w:val="nil"/>
              <w:left w:val="nil"/>
              <w:bottom w:val="nil"/>
              <w:right w:val="single" w:sz="4" w:space="0" w:color="auto"/>
            </w:tcBorders>
            <w:hideMark/>
          </w:tcPr>
          <w:p w14:paraId="735FE72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8,578,484,353</w:t>
            </w:r>
          </w:p>
        </w:tc>
        <w:tc>
          <w:tcPr>
            <w:tcW w:w="694" w:type="pct"/>
            <w:tcBorders>
              <w:top w:val="nil"/>
              <w:left w:val="nil"/>
              <w:bottom w:val="nil"/>
              <w:right w:val="single" w:sz="4" w:space="0" w:color="auto"/>
            </w:tcBorders>
            <w:hideMark/>
          </w:tcPr>
          <w:p w14:paraId="413478B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8,515,355,533</w:t>
            </w:r>
          </w:p>
        </w:tc>
      </w:tr>
      <w:tr w:rsidR="00CB04CD" w:rsidRPr="00E84DBE" w14:paraId="3F0339E1" w14:textId="77777777" w:rsidTr="00CB04CD">
        <w:trPr>
          <w:trHeight w:val="20"/>
        </w:trPr>
        <w:tc>
          <w:tcPr>
            <w:tcW w:w="126" w:type="pct"/>
            <w:tcBorders>
              <w:top w:val="nil"/>
              <w:left w:val="single" w:sz="4" w:space="0" w:color="auto"/>
              <w:bottom w:val="nil"/>
              <w:right w:val="nil"/>
            </w:tcBorders>
            <w:noWrap/>
            <w:hideMark/>
          </w:tcPr>
          <w:p w14:paraId="4F3AF4B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23CBD90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179" w:type="pct"/>
            <w:tcBorders>
              <w:top w:val="nil"/>
              <w:left w:val="nil"/>
              <w:bottom w:val="nil"/>
              <w:right w:val="single" w:sz="4" w:space="0" w:color="auto"/>
            </w:tcBorders>
            <w:hideMark/>
          </w:tcPr>
          <w:p w14:paraId="5E52416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Fondos Distintos de Aportaciones</w:t>
            </w:r>
          </w:p>
        </w:tc>
        <w:tc>
          <w:tcPr>
            <w:tcW w:w="423" w:type="pct"/>
            <w:tcBorders>
              <w:top w:val="nil"/>
              <w:left w:val="single" w:sz="4" w:space="0" w:color="auto"/>
              <w:bottom w:val="nil"/>
              <w:right w:val="single" w:sz="4" w:space="0" w:color="auto"/>
            </w:tcBorders>
            <w:hideMark/>
          </w:tcPr>
          <w:p w14:paraId="14A4E8E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1588053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514,159,452</w:t>
            </w:r>
          </w:p>
        </w:tc>
        <w:tc>
          <w:tcPr>
            <w:tcW w:w="584" w:type="pct"/>
            <w:tcBorders>
              <w:top w:val="nil"/>
              <w:left w:val="nil"/>
              <w:bottom w:val="nil"/>
              <w:right w:val="single" w:sz="4" w:space="0" w:color="auto"/>
            </w:tcBorders>
            <w:hideMark/>
          </w:tcPr>
          <w:p w14:paraId="1E3CEF4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922,926,207</w:t>
            </w:r>
          </w:p>
        </w:tc>
        <w:tc>
          <w:tcPr>
            <w:tcW w:w="584" w:type="pct"/>
            <w:tcBorders>
              <w:top w:val="nil"/>
              <w:left w:val="nil"/>
              <w:bottom w:val="nil"/>
              <w:right w:val="single" w:sz="4" w:space="0" w:color="auto"/>
            </w:tcBorders>
            <w:hideMark/>
          </w:tcPr>
          <w:p w14:paraId="22B3C6D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25,759,750</w:t>
            </w:r>
          </w:p>
        </w:tc>
        <w:tc>
          <w:tcPr>
            <w:tcW w:w="673" w:type="pct"/>
            <w:tcBorders>
              <w:top w:val="nil"/>
              <w:left w:val="nil"/>
              <w:bottom w:val="nil"/>
              <w:right w:val="single" w:sz="4" w:space="0" w:color="auto"/>
            </w:tcBorders>
            <w:hideMark/>
          </w:tcPr>
          <w:p w14:paraId="65DFF65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601,079,000</w:t>
            </w:r>
          </w:p>
        </w:tc>
        <w:tc>
          <w:tcPr>
            <w:tcW w:w="694" w:type="pct"/>
            <w:tcBorders>
              <w:top w:val="nil"/>
              <w:left w:val="nil"/>
              <w:bottom w:val="nil"/>
              <w:right w:val="single" w:sz="4" w:space="0" w:color="auto"/>
            </w:tcBorders>
            <w:hideMark/>
          </w:tcPr>
          <w:p w14:paraId="5BFAC92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65294D52" w14:textId="77777777" w:rsidTr="00CB04CD">
        <w:trPr>
          <w:trHeight w:val="20"/>
        </w:trPr>
        <w:tc>
          <w:tcPr>
            <w:tcW w:w="126" w:type="pct"/>
            <w:tcBorders>
              <w:top w:val="nil"/>
              <w:left w:val="single" w:sz="4" w:space="0" w:color="auto"/>
              <w:bottom w:val="nil"/>
              <w:right w:val="nil"/>
            </w:tcBorders>
            <w:noWrap/>
            <w:hideMark/>
          </w:tcPr>
          <w:p w14:paraId="79D0315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4302F20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179" w:type="pct"/>
            <w:tcBorders>
              <w:top w:val="nil"/>
              <w:left w:val="nil"/>
              <w:bottom w:val="nil"/>
              <w:right w:val="single" w:sz="4" w:space="0" w:color="auto"/>
            </w:tcBorders>
            <w:hideMark/>
          </w:tcPr>
          <w:p w14:paraId="630C2C1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Transferencias, Asignaciones, Subsidios y Subvenciones, y Pensiones y Jubilaciones</w:t>
            </w:r>
          </w:p>
        </w:tc>
        <w:tc>
          <w:tcPr>
            <w:tcW w:w="423" w:type="pct"/>
            <w:tcBorders>
              <w:top w:val="nil"/>
              <w:left w:val="single" w:sz="4" w:space="0" w:color="auto"/>
              <w:bottom w:val="nil"/>
              <w:right w:val="single" w:sz="4" w:space="0" w:color="auto"/>
            </w:tcBorders>
            <w:vAlign w:val="center"/>
            <w:hideMark/>
          </w:tcPr>
          <w:p w14:paraId="650472F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945,413,000</w:t>
            </w:r>
          </w:p>
        </w:tc>
        <w:tc>
          <w:tcPr>
            <w:tcW w:w="584" w:type="pct"/>
            <w:tcBorders>
              <w:top w:val="nil"/>
              <w:left w:val="nil"/>
              <w:bottom w:val="nil"/>
              <w:right w:val="single" w:sz="4" w:space="0" w:color="auto"/>
            </w:tcBorders>
            <w:vAlign w:val="center"/>
            <w:hideMark/>
          </w:tcPr>
          <w:p w14:paraId="76BBCDF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7,800,932,000</w:t>
            </w:r>
          </w:p>
        </w:tc>
        <w:tc>
          <w:tcPr>
            <w:tcW w:w="584" w:type="pct"/>
            <w:tcBorders>
              <w:top w:val="nil"/>
              <w:left w:val="nil"/>
              <w:bottom w:val="nil"/>
              <w:right w:val="single" w:sz="4" w:space="0" w:color="auto"/>
            </w:tcBorders>
            <w:vAlign w:val="center"/>
            <w:hideMark/>
          </w:tcPr>
          <w:p w14:paraId="1DDA55B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5,604,166,565</w:t>
            </w:r>
          </w:p>
        </w:tc>
        <w:tc>
          <w:tcPr>
            <w:tcW w:w="584" w:type="pct"/>
            <w:tcBorders>
              <w:top w:val="nil"/>
              <w:left w:val="nil"/>
              <w:bottom w:val="nil"/>
              <w:right w:val="single" w:sz="4" w:space="0" w:color="auto"/>
            </w:tcBorders>
            <w:vAlign w:val="center"/>
            <w:hideMark/>
          </w:tcPr>
          <w:p w14:paraId="5C16985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4,327,588,234</w:t>
            </w:r>
          </w:p>
        </w:tc>
        <w:tc>
          <w:tcPr>
            <w:tcW w:w="673" w:type="pct"/>
            <w:tcBorders>
              <w:top w:val="nil"/>
              <w:left w:val="nil"/>
              <w:bottom w:val="nil"/>
              <w:right w:val="single" w:sz="4" w:space="0" w:color="auto"/>
            </w:tcBorders>
            <w:vAlign w:val="center"/>
            <w:hideMark/>
          </w:tcPr>
          <w:p w14:paraId="69DFBD3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6,056,061,525</w:t>
            </w:r>
          </w:p>
        </w:tc>
        <w:tc>
          <w:tcPr>
            <w:tcW w:w="694" w:type="pct"/>
            <w:tcBorders>
              <w:top w:val="nil"/>
              <w:left w:val="nil"/>
              <w:bottom w:val="nil"/>
              <w:right w:val="single" w:sz="4" w:space="0" w:color="auto"/>
            </w:tcBorders>
            <w:vAlign w:val="center"/>
            <w:hideMark/>
          </w:tcPr>
          <w:p w14:paraId="476ABED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4,227,318,034</w:t>
            </w:r>
          </w:p>
        </w:tc>
      </w:tr>
      <w:tr w:rsidR="00CB04CD" w:rsidRPr="00E84DBE" w14:paraId="77D37F0A" w14:textId="77777777" w:rsidTr="00CB04CD">
        <w:trPr>
          <w:trHeight w:val="20"/>
        </w:trPr>
        <w:tc>
          <w:tcPr>
            <w:tcW w:w="126" w:type="pct"/>
            <w:tcBorders>
              <w:top w:val="nil"/>
              <w:left w:val="single" w:sz="4" w:space="0" w:color="auto"/>
              <w:bottom w:val="nil"/>
              <w:right w:val="nil"/>
            </w:tcBorders>
            <w:noWrap/>
            <w:hideMark/>
          </w:tcPr>
          <w:p w14:paraId="7C883A9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113CEA6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179" w:type="pct"/>
            <w:tcBorders>
              <w:top w:val="nil"/>
              <w:left w:val="nil"/>
              <w:bottom w:val="nil"/>
              <w:right w:val="single" w:sz="4" w:space="0" w:color="auto"/>
            </w:tcBorders>
            <w:hideMark/>
          </w:tcPr>
          <w:p w14:paraId="68FA58B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Otras Transferencias Federales Etiquetadas</w:t>
            </w:r>
          </w:p>
        </w:tc>
        <w:tc>
          <w:tcPr>
            <w:tcW w:w="423" w:type="pct"/>
            <w:tcBorders>
              <w:top w:val="nil"/>
              <w:left w:val="single" w:sz="4" w:space="0" w:color="auto"/>
              <w:bottom w:val="nil"/>
              <w:right w:val="single" w:sz="4" w:space="0" w:color="auto"/>
            </w:tcBorders>
            <w:vAlign w:val="center"/>
            <w:hideMark/>
          </w:tcPr>
          <w:p w14:paraId="6729A39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23,804,974,448</w:t>
            </w:r>
          </w:p>
        </w:tc>
        <w:tc>
          <w:tcPr>
            <w:tcW w:w="584" w:type="pct"/>
            <w:tcBorders>
              <w:top w:val="nil"/>
              <w:left w:val="nil"/>
              <w:bottom w:val="nil"/>
              <w:right w:val="single" w:sz="4" w:space="0" w:color="auto"/>
            </w:tcBorders>
            <w:vAlign w:val="center"/>
            <w:hideMark/>
          </w:tcPr>
          <w:p w14:paraId="4375CC8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1,284,729,475</w:t>
            </w:r>
          </w:p>
        </w:tc>
        <w:tc>
          <w:tcPr>
            <w:tcW w:w="584" w:type="pct"/>
            <w:tcBorders>
              <w:top w:val="nil"/>
              <w:left w:val="nil"/>
              <w:bottom w:val="nil"/>
              <w:right w:val="single" w:sz="4" w:space="0" w:color="auto"/>
            </w:tcBorders>
            <w:vAlign w:val="center"/>
            <w:hideMark/>
          </w:tcPr>
          <w:p w14:paraId="1933DD0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vAlign w:val="center"/>
            <w:hideMark/>
          </w:tcPr>
          <w:p w14:paraId="75B3907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vAlign w:val="center"/>
            <w:hideMark/>
          </w:tcPr>
          <w:p w14:paraId="04BAECA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vAlign w:val="center"/>
            <w:hideMark/>
          </w:tcPr>
          <w:p w14:paraId="12162D4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6C558F0C" w14:textId="77777777" w:rsidTr="00CB04CD">
        <w:trPr>
          <w:trHeight w:val="20"/>
        </w:trPr>
        <w:tc>
          <w:tcPr>
            <w:tcW w:w="126" w:type="pct"/>
            <w:tcBorders>
              <w:top w:val="nil"/>
              <w:left w:val="single" w:sz="4" w:space="0" w:color="auto"/>
              <w:bottom w:val="nil"/>
              <w:right w:val="nil"/>
            </w:tcBorders>
            <w:noWrap/>
            <w:hideMark/>
          </w:tcPr>
          <w:p w14:paraId="07BD8DB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0DF221F6"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1D0D9F9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hideMark/>
          </w:tcPr>
          <w:p w14:paraId="2EB0AA7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4A896B8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14F000E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565E667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hideMark/>
          </w:tcPr>
          <w:p w14:paraId="7E8ED6C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hideMark/>
          </w:tcPr>
          <w:p w14:paraId="48D346F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58161291" w14:textId="77777777" w:rsidTr="00CB04CD">
        <w:trPr>
          <w:trHeight w:val="20"/>
        </w:trPr>
        <w:tc>
          <w:tcPr>
            <w:tcW w:w="126" w:type="pct"/>
            <w:tcBorders>
              <w:top w:val="nil"/>
              <w:left w:val="single" w:sz="4" w:space="0" w:color="auto"/>
              <w:bottom w:val="nil"/>
              <w:right w:val="nil"/>
            </w:tcBorders>
            <w:noWrap/>
            <w:hideMark/>
          </w:tcPr>
          <w:p w14:paraId="295DB719"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332" w:type="pct"/>
            <w:gridSpan w:val="2"/>
            <w:tcBorders>
              <w:top w:val="nil"/>
              <w:left w:val="nil"/>
              <w:bottom w:val="nil"/>
              <w:right w:val="single" w:sz="4" w:space="0" w:color="000000"/>
            </w:tcBorders>
            <w:hideMark/>
          </w:tcPr>
          <w:p w14:paraId="0B45F7C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Financiamientos</w:t>
            </w:r>
            <w:r w:rsidRPr="00E84DBE">
              <w:rPr>
                <w:rFonts w:eastAsia="Times New Roman" w:cs="Arial"/>
                <w:b/>
                <w:bCs/>
                <w:sz w:val="14"/>
                <w:szCs w:val="14"/>
                <w:lang w:eastAsia="es-MX"/>
              </w:rPr>
              <w:br/>
              <w:t>(3= A)</w:t>
            </w:r>
          </w:p>
        </w:tc>
        <w:tc>
          <w:tcPr>
            <w:tcW w:w="423" w:type="pct"/>
            <w:tcBorders>
              <w:top w:val="nil"/>
              <w:left w:val="single" w:sz="4" w:space="0" w:color="auto"/>
              <w:bottom w:val="nil"/>
              <w:right w:val="single" w:sz="4" w:space="0" w:color="auto"/>
            </w:tcBorders>
            <w:vAlign w:val="center"/>
            <w:hideMark/>
          </w:tcPr>
          <w:p w14:paraId="163E470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6,507,512,600</w:t>
            </w:r>
          </w:p>
        </w:tc>
        <w:tc>
          <w:tcPr>
            <w:tcW w:w="584" w:type="pct"/>
            <w:tcBorders>
              <w:top w:val="nil"/>
              <w:left w:val="nil"/>
              <w:bottom w:val="nil"/>
              <w:right w:val="single" w:sz="4" w:space="0" w:color="auto"/>
            </w:tcBorders>
            <w:vAlign w:val="center"/>
            <w:hideMark/>
          </w:tcPr>
          <w:p w14:paraId="6E37E64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39,846,667,000</w:t>
            </w:r>
          </w:p>
        </w:tc>
        <w:tc>
          <w:tcPr>
            <w:tcW w:w="584" w:type="pct"/>
            <w:tcBorders>
              <w:top w:val="nil"/>
              <w:left w:val="nil"/>
              <w:bottom w:val="nil"/>
              <w:right w:val="single" w:sz="4" w:space="0" w:color="auto"/>
            </w:tcBorders>
            <w:vAlign w:val="center"/>
            <w:hideMark/>
          </w:tcPr>
          <w:p w14:paraId="718A32F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22,963,401,000</w:t>
            </w:r>
          </w:p>
        </w:tc>
        <w:tc>
          <w:tcPr>
            <w:tcW w:w="584" w:type="pct"/>
            <w:tcBorders>
              <w:top w:val="nil"/>
              <w:left w:val="nil"/>
              <w:bottom w:val="nil"/>
              <w:right w:val="single" w:sz="4" w:space="0" w:color="auto"/>
            </w:tcBorders>
            <w:vAlign w:val="center"/>
            <w:hideMark/>
          </w:tcPr>
          <w:p w14:paraId="5DD233A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21,203,997,000</w:t>
            </w:r>
          </w:p>
        </w:tc>
        <w:tc>
          <w:tcPr>
            <w:tcW w:w="673" w:type="pct"/>
            <w:tcBorders>
              <w:top w:val="nil"/>
              <w:left w:val="nil"/>
              <w:bottom w:val="nil"/>
              <w:right w:val="single" w:sz="4" w:space="0" w:color="auto"/>
            </w:tcBorders>
            <w:vAlign w:val="center"/>
            <w:hideMark/>
          </w:tcPr>
          <w:p w14:paraId="641371B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24,652,204,000</w:t>
            </w:r>
          </w:p>
        </w:tc>
        <w:tc>
          <w:tcPr>
            <w:tcW w:w="694" w:type="pct"/>
            <w:tcBorders>
              <w:top w:val="nil"/>
              <w:left w:val="nil"/>
              <w:bottom w:val="nil"/>
              <w:right w:val="single" w:sz="4" w:space="0" w:color="auto"/>
            </w:tcBorders>
            <w:vAlign w:val="center"/>
            <w:hideMark/>
          </w:tcPr>
          <w:p w14:paraId="58FF601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12,464,779,938</w:t>
            </w:r>
          </w:p>
        </w:tc>
      </w:tr>
      <w:tr w:rsidR="00CB04CD" w:rsidRPr="00E84DBE" w14:paraId="1CEF79B5" w14:textId="77777777" w:rsidTr="00CB04CD">
        <w:trPr>
          <w:trHeight w:val="20"/>
        </w:trPr>
        <w:tc>
          <w:tcPr>
            <w:tcW w:w="126" w:type="pct"/>
            <w:tcBorders>
              <w:top w:val="nil"/>
              <w:left w:val="single" w:sz="4" w:space="0" w:color="auto"/>
              <w:bottom w:val="nil"/>
              <w:right w:val="nil"/>
            </w:tcBorders>
            <w:noWrap/>
            <w:hideMark/>
          </w:tcPr>
          <w:p w14:paraId="61D3381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7F1AB385"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3E66033B"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6A96C97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5BBF50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6B4181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460CD83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75CF6FB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31FEF45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3378687C" w14:textId="77777777" w:rsidTr="00CB04CD">
        <w:trPr>
          <w:trHeight w:val="20"/>
        </w:trPr>
        <w:tc>
          <w:tcPr>
            <w:tcW w:w="126" w:type="pct"/>
            <w:tcBorders>
              <w:top w:val="nil"/>
              <w:left w:val="single" w:sz="4" w:space="0" w:color="auto"/>
              <w:bottom w:val="nil"/>
              <w:right w:val="nil"/>
            </w:tcBorders>
            <w:noWrap/>
            <w:hideMark/>
          </w:tcPr>
          <w:p w14:paraId="2A1CC3A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2C8AF8F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179" w:type="pct"/>
            <w:tcBorders>
              <w:top w:val="nil"/>
              <w:left w:val="nil"/>
              <w:bottom w:val="nil"/>
              <w:right w:val="single" w:sz="4" w:space="0" w:color="auto"/>
            </w:tcBorders>
            <w:hideMark/>
          </w:tcPr>
          <w:p w14:paraId="6A7F16D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xml:space="preserve">Ingresos Derivados de Financiamientos </w:t>
            </w:r>
            <w:r w:rsidRPr="00E84DBE">
              <w:rPr>
                <w:rFonts w:eastAsia="Times New Roman" w:cs="Arial"/>
                <w:sz w:val="14"/>
                <w:szCs w:val="14"/>
                <w:vertAlign w:val="superscript"/>
                <w:lang w:eastAsia="es-MX"/>
              </w:rPr>
              <w:t>4</w:t>
            </w:r>
          </w:p>
        </w:tc>
        <w:tc>
          <w:tcPr>
            <w:tcW w:w="423" w:type="pct"/>
            <w:tcBorders>
              <w:top w:val="nil"/>
              <w:left w:val="single" w:sz="4" w:space="0" w:color="auto"/>
              <w:bottom w:val="nil"/>
              <w:right w:val="single" w:sz="4" w:space="0" w:color="auto"/>
            </w:tcBorders>
            <w:hideMark/>
          </w:tcPr>
          <w:p w14:paraId="289D206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6,507,512,600</w:t>
            </w:r>
          </w:p>
        </w:tc>
        <w:tc>
          <w:tcPr>
            <w:tcW w:w="584" w:type="pct"/>
            <w:tcBorders>
              <w:top w:val="nil"/>
              <w:left w:val="nil"/>
              <w:bottom w:val="nil"/>
              <w:right w:val="single" w:sz="4" w:space="0" w:color="auto"/>
            </w:tcBorders>
            <w:hideMark/>
          </w:tcPr>
          <w:p w14:paraId="2EF0325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39,846,667,000</w:t>
            </w:r>
          </w:p>
        </w:tc>
        <w:tc>
          <w:tcPr>
            <w:tcW w:w="584" w:type="pct"/>
            <w:tcBorders>
              <w:top w:val="nil"/>
              <w:left w:val="nil"/>
              <w:bottom w:val="nil"/>
              <w:right w:val="single" w:sz="4" w:space="0" w:color="auto"/>
            </w:tcBorders>
            <w:hideMark/>
          </w:tcPr>
          <w:p w14:paraId="4FC8B65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22,963,401,000</w:t>
            </w:r>
          </w:p>
        </w:tc>
        <w:tc>
          <w:tcPr>
            <w:tcW w:w="584" w:type="pct"/>
            <w:tcBorders>
              <w:top w:val="nil"/>
              <w:left w:val="nil"/>
              <w:bottom w:val="nil"/>
              <w:right w:val="single" w:sz="4" w:space="0" w:color="auto"/>
            </w:tcBorders>
            <w:hideMark/>
          </w:tcPr>
          <w:p w14:paraId="6207BC9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21,203,997,000</w:t>
            </w:r>
          </w:p>
        </w:tc>
        <w:tc>
          <w:tcPr>
            <w:tcW w:w="673" w:type="pct"/>
            <w:tcBorders>
              <w:top w:val="nil"/>
              <w:left w:val="nil"/>
              <w:bottom w:val="nil"/>
              <w:right w:val="single" w:sz="4" w:space="0" w:color="auto"/>
            </w:tcBorders>
            <w:hideMark/>
          </w:tcPr>
          <w:p w14:paraId="5DDA9AE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24,652,204,000</w:t>
            </w:r>
          </w:p>
        </w:tc>
        <w:tc>
          <w:tcPr>
            <w:tcW w:w="694" w:type="pct"/>
            <w:tcBorders>
              <w:top w:val="nil"/>
              <w:left w:val="nil"/>
              <w:bottom w:val="nil"/>
              <w:right w:val="single" w:sz="4" w:space="0" w:color="auto"/>
            </w:tcBorders>
            <w:hideMark/>
          </w:tcPr>
          <w:p w14:paraId="2676B7D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12,464,779,938</w:t>
            </w:r>
          </w:p>
        </w:tc>
      </w:tr>
      <w:tr w:rsidR="00CB04CD" w:rsidRPr="00E84DBE" w14:paraId="40F73B8C" w14:textId="77777777" w:rsidTr="00CB04CD">
        <w:trPr>
          <w:trHeight w:val="20"/>
        </w:trPr>
        <w:tc>
          <w:tcPr>
            <w:tcW w:w="126" w:type="pct"/>
            <w:tcBorders>
              <w:top w:val="nil"/>
              <w:left w:val="single" w:sz="4" w:space="0" w:color="auto"/>
              <w:bottom w:val="nil"/>
              <w:right w:val="nil"/>
            </w:tcBorders>
            <w:noWrap/>
            <w:hideMark/>
          </w:tcPr>
          <w:p w14:paraId="2D4D36A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0636D487"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0083FE7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hideMark/>
          </w:tcPr>
          <w:p w14:paraId="62C4B56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2F70ECE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1A3DBBE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4D5E602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hideMark/>
          </w:tcPr>
          <w:p w14:paraId="389BFD8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hideMark/>
          </w:tcPr>
          <w:p w14:paraId="535A0ED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635AD632" w14:textId="77777777" w:rsidTr="00CB04CD">
        <w:trPr>
          <w:trHeight w:val="20"/>
        </w:trPr>
        <w:tc>
          <w:tcPr>
            <w:tcW w:w="126" w:type="pct"/>
            <w:tcBorders>
              <w:top w:val="nil"/>
              <w:left w:val="single" w:sz="4" w:space="0" w:color="auto"/>
              <w:bottom w:val="nil"/>
              <w:right w:val="nil"/>
            </w:tcBorders>
            <w:noWrap/>
            <w:hideMark/>
          </w:tcPr>
          <w:p w14:paraId="67B4389B"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4.</w:t>
            </w:r>
          </w:p>
        </w:tc>
        <w:tc>
          <w:tcPr>
            <w:tcW w:w="1332" w:type="pct"/>
            <w:gridSpan w:val="2"/>
            <w:tcBorders>
              <w:top w:val="nil"/>
              <w:left w:val="nil"/>
              <w:bottom w:val="nil"/>
              <w:right w:val="single" w:sz="4" w:space="0" w:color="000000"/>
            </w:tcBorders>
            <w:hideMark/>
          </w:tcPr>
          <w:p w14:paraId="07EC8ED8" w14:textId="7ED00646"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xml:space="preserve">Total de Ingresos </w:t>
            </w:r>
            <w:r w:rsidR="00942EA5">
              <w:rPr>
                <w:rFonts w:eastAsia="Times New Roman" w:cs="Arial"/>
                <w:b/>
                <w:bCs/>
                <w:sz w:val="14"/>
                <w:szCs w:val="14"/>
                <w:lang w:eastAsia="es-MX"/>
              </w:rPr>
              <w:t>Observados/</w:t>
            </w:r>
            <w:r w:rsidRPr="00E84DBE">
              <w:rPr>
                <w:rFonts w:eastAsia="Times New Roman" w:cs="Arial"/>
                <w:b/>
                <w:bCs/>
                <w:sz w:val="14"/>
                <w:szCs w:val="14"/>
                <w:lang w:eastAsia="es-MX"/>
              </w:rPr>
              <w:t>Proyectad</w:t>
            </w:r>
            <w:r w:rsidR="00942EA5">
              <w:rPr>
                <w:rFonts w:eastAsia="Times New Roman" w:cs="Arial"/>
                <w:b/>
                <w:bCs/>
                <w:sz w:val="14"/>
                <w:szCs w:val="14"/>
                <w:lang w:eastAsia="es-MX"/>
              </w:rPr>
              <w:t xml:space="preserve">o </w:t>
            </w:r>
            <w:r w:rsidRPr="00E84DBE">
              <w:rPr>
                <w:rFonts w:eastAsia="Times New Roman" w:cs="Arial"/>
                <w:b/>
                <w:bCs/>
                <w:sz w:val="14"/>
                <w:szCs w:val="14"/>
                <w:lang w:eastAsia="es-MX"/>
              </w:rPr>
              <w:t>(4=1+2+3)</w:t>
            </w:r>
          </w:p>
        </w:tc>
        <w:tc>
          <w:tcPr>
            <w:tcW w:w="423" w:type="pct"/>
            <w:tcBorders>
              <w:top w:val="nil"/>
              <w:left w:val="single" w:sz="4" w:space="0" w:color="auto"/>
              <w:bottom w:val="nil"/>
              <w:right w:val="single" w:sz="4" w:space="0" w:color="auto"/>
            </w:tcBorders>
            <w:vAlign w:val="center"/>
            <w:hideMark/>
          </w:tcPr>
          <w:p w14:paraId="1930A39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291,013,541,415</w:t>
            </w:r>
          </w:p>
        </w:tc>
        <w:tc>
          <w:tcPr>
            <w:tcW w:w="584" w:type="pct"/>
            <w:tcBorders>
              <w:top w:val="nil"/>
              <w:left w:val="nil"/>
              <w:bottom w:val="nil"/>
              <w:right w:val="single" w:sz="4" w:space="0" w:color="auto"/>
            </w:tcBorders>
            <w:vAlign w:val="center"/>
            <w:hideMark/>
          </w:tcPr>
          <w:p w14:paraId="7A010815"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343,224,657,326</w:t>
            </w:r>
          </w:p>
        </w:tc>
        <w:tc>
          <w:tcPr>
            <w:tcW w:w="584" w:type="pct"/>
            <w:tcBorders>
              <w:top w:val="nil"/>
              <w:left w:val="nil"/>
              <w:bottom w:val="nil"/>
              <w:right w:val="single" w:sz="4" w:space="0" w:color="auto"/>
            </w:tcBorders>
            <w:vAlign w:val="center"/>
            <w:hideMark/>
          </w:tcPr>
          <w:p w14:paraId="14A0163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326,923,690,624</w:t>
            </w:r>
          </w:p>
        </w:tc>
        <w:tc>
          <w:tcPr>
            <w:tcW w:w="584" w:type="pct"/>
            <w:tcBorders>
              <w:top w:val="nil"/>
              <w:left w:val="nil"/>
              <w:bottom w:val="nil"/>
              <w:right w:val="single" w:sz="4" w:space="0" w:color="auto"/>
            </w:tcBorders>
            <w:vAlign w:val="center"/>
            <w:hideMark/>
          </w:tcPr>
          <w:p w14:paraId="5C8167A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313,330,823,946</w:t>
            </w:r>
          </w:p>
        </w:tc>
        <w:tc>
          <w:tcPr>
            <w:tcW w:w="673" w:type="pct"/>
            <w:tcBorders>
              <w:top w:val="nil"/>
              <w:left w:val="nil"/>
              <w:bottom w:val="nil"/>
              <w:right w:val="single" w:sz="4" w:space="0" w:color="auto"/>
            </w:tcBorders>
            <w:vAlign w:val="center"/>
            <w:hideMark/>
          </w:tcPr>
          <w:p w14:paraId="6B71DDBC"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323,745,912,273</w:t>
            </w:r>
          </w:p>
        </w:tc>
        <w:tc>
          <w:tcPr>
            <w:tcW w:w="694" w:type="pct"/>
            <w:tcBorders>
              <w:top w:val="nil"/>
              <w:left w:val="nil"/>
              <w:bottom w:val="nil"/>
              <w:right w:val="single" w:sz="4" w:space="0" w:color="auto"/>
            </w:tcBorders>
            <w:vAlign w:val="center"/>
            <w:hideMark/>
          </w:tcPr>
          <w:p w14:paraId="0A54695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326,247,260,671</w:t>
            </w:r>
          </w:p>
        </w:tc>
      </w:tr>
      <w:tr w:rsidR="00CB04CD" w:rsidRPr="00E84DBE" w14:paraId="6D9A8663" w14:textId="77777777" w:rsidTr="00ED0A66">
        <w:trPr>
          <w:trHeight w:val="274"/>
        </w:trPr>
        <w:tc>
          <w:tcPr>
            <w:tcW w:w="126" w:type="pct"/>
            <w:tcBorders>
              <w:top w:val="nil"/>
              <w:left w:val="single" w:sz="4" w:space="0" w:color="auto"/>
              <w:bottom w:val="nil"/>
              <w:right w:val="nil"/>
            </w:tcBorders>
            <w:noWrap/>
            <w:hideMark/>
          </w:tcPr>
          <w:p w14:paraId="2ED82BF5"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361B3025"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4C12C29F"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06C13D0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E4F2BA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7E49A38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6A12EB9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72E5351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5E33358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6CDCFEAC" w14:textId="77777777" w:rsidTr="00CB04CD">
        <w:trPr>
          <w:trHeight w:val="20"/>
        </w:trPr>
        <w:tc>
          <w:tcPr>
            <w:tcW w:w="1458" w:type="pct"/>
            <w:gridSpan w:val="3"/>
            <w:tcBorders>
              <w:top w:val="nil"/>
              <w:left w:val="single" w:sz="4" w:space="0" w:color="auto"/>
              <w:bottom w:val="nil"/>
              <w:right w:val="single" w:sz="4" w:space="0" w:color="000000"/>
            </w:tcBorders>
            <w:noWrap/>
            <w:hideMark/>
          </w:tcPr>
          <w:p w14:paraId="5C228331"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Datos Informativos</w:t>
            </w:r>
          </w:p>
        </w:tc>
        <w:tc>
          <w:tcPr>
            <w:tcW w:w="423" w:type="pct"/>
            <w:tcBorders>
              <w:top w:val="nil"/>
              <w:left w:val="single" w:sz="4" w:space="0" w:color="auto"/>
              <w:bottom w:val="nil"/>
              <w:right w:val="single" w:sz="4" w:space="0" w:color="auto"/>
            </w:tcBorders>
            <w:hideMark/>
          </w:tcPr>
          <w:p w14:paraId="330FD92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20970C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F39299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EFD336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22AA44C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791D1C8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598316D9" w14:textId="77777777" w:rsidTr="00512318">
        <w:trPr>
          <w:trHeight w:val="20"/>
        </w:trPr>
        <w:tc>
          <w:tcPr>
            <w:tcW w:w="126" w:type="pct"/>
            <w:tcBorders>
              <w:top w:val="nil"/>
              <w:left w:val="single" w:sz="4" w:space="0" w:color="auto"/>
              <w:right w:val="nil"/>
            </w:tcBorders>
            <w:noWrap/>
            <w:hideMark/>
          </w:tcPr>
          <w:p w14:paraId="7523083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noWrap/>
            <w:hideMark/>
          </w:tcPr>
          <w:p w14:paraId="5BFE1571" w14:textId="77777777" w:rsidR="00CB04CD" w:rsidRPr="00E84DBE" w:rsidRDefault="00CB04CD">
            <w:pPr>
              <w:rPr>
                <w:rFonts w:eastAsia="Times New Roman" w:cs="Arial"/>
                <w:b/>
                <w:bCs/>
                <w:sz w:val="14"/>
                <w:szCs w:val="14"/>
                <w:lang w:eastAsia="es-MX"/>
              </w:rPr>
            </w:pPr>
          </w:p>
        </w:tc>
        <w:tc>
          <w:tcPr>
            <w:tcW w:w="1179" w:type="pct"/>
            <w:tcBorders>
              <w:top w:val="nil"/>
              <w:left w:val="nil"/>
              <w:right w:val="single" w:sz="4" w:space="0" w:color="auto"/>
            </w:tcBorders>
            <w:noWrap/>
            <w:hideMark/>
          </w:tcPr>
          <w:p w14:paraId="3D898191"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right w:val="single" w:sz="4" w:space="0" w:color="auto"/>
            </w:tcBorders>
            <w:hideMark/>
          </w:tcPr>
          <w:p w14:paraId="5F3C78A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right w:val="single" w:sz="4" w:space="0" w:color="auto"/>
            </w:tcBorders>
            <w:hideMark/>
          </w:tcPr>
          <w:p w14:paraId="2DECBA5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right w:val="single" w:sz="4" w:space="0" w:color="auto"/>
            </w:tcBorders>
            <w:hideMark/>
          </w:tcPr>
          <w:p w14:paraId="6DB56D2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right w:val="single" w:sz="4" w:space="0" w:color="auto"/>
            </w:tcBorders>
            <w:hideMark/>
          </w:tcPr>
          <w:p w14:paraId="6428567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right w:val="single" w:sz="4" w:space="0" w:color="auto"/>
            </w:tcBorders>
            <w:hideMark/>
          </w:tcPr>
          <w:p w14:paraId="7A89039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right w:val="single" w:sz="4" w:space="0" w:color="auto"/>
            </w:tcBorders>
            <w:hideMark/>
          </w:tcPr>
          <w:p w14:paraId="755BB03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5CE50318" w14:textId="77777777" w:rsidTr="00AA2DB9">
        <w:trPr>
          <w:trHeight w:val="621"/>
        </w:trPr>
        <w:tc>
          <w:tcPr>
            <w:tcW w:w="126" w:type="pct"/>
            <w:tcBorders>
              <w:top w:val="nil"/>
              <w:left w:val="single" w:sz="4" w:space="0" w:color="auto"/>
              <w:bottom w:val="single" w:sz="4" w:space="0" w:color="auto"/>
              <w:right w:val="nil"/>
            </w:tcBorders>
            <w:noWrap/>
            <w:hideMark/>
          </w:tcPr>
          <w:p w14:paraId="151074F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1.</w:t>
            </w:r>
          </w:p>
        </w:tc>
        <w:tc>
          <w:tcPr>
            <w:tcW w:w="1332" w:type="pct"/>
            <w:gridSpan w:val="2"/>
            <w:tcBorders>
              <w:top w:val="nil"/>
              <w:left w:val="nil"/>
              <w:bottom w:val="single" w:sz="4" w:space="0" w:color="auto"/>
              <w:right w:val="single" w:sz="4" w:space="0" w:color="000000"/>
            </w:tcBorders>
            <w:hideMark/>
          </w:tcPr>
          <w:p w14:paraId="33635A4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Recursos de Libre Disposición</w:t>
            </w:r>
          </w:p>
        </w:tc>
        <w:tc>
          <w:tcPr>
            <w:tcW w:w="423" w:type="pct"/>
            <w:tcBorders>
              <w:top w:val="nil"/>
              <w:left w:val="single" w:sz="4" w:space="0" w:color="auto"/>
              <w:bottom w:val="single" w:sz="4" w:space="0" w:color="auto"/>
              <w:right w:val="single" w:sz="4" w:space="0" w:color="auto"/>
            </w:tcBorders>
            <w:shd w:val="clear" w:color="auto" w:fill="FFFFFF"/>
            <w:vAlign w:val="center"/>
            <w:hideMark/>
          </w:tcPr>
          <w:p w14:paraId="058A508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2,507,512,600</w:t>
            </w:r>
          </w:p>
        </w:tc>
        <w:tc>
          <w:tcPr>
            <w:tcW w:w="584" w:type="pct"/>
            <w:tcBorders>
              <w:top w:val="nil"/>
              <w:left w:val="nil"/>
              <w:bottom w:val="single" w:sz="4" w:space="0" w:color="auto"/>
              <w:right w:val="single" w:sz="4" w:space="0" w:color="auto"/>
            </w:tcBorders>
            <w:shd w:val="clear" w:color="auto" w:fill="FFFFFF"/>
            <w:vAlign w:val="center"/>
            <w:hideMark/>
          </w:tcPr>
          <w:p w14:paraId="263EECA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2,845,233,125</w:t>
            </w:r>
          </w:p>
        </w:tc>
        <w:tc>
          <w:tcPr>
            <w:tcW w:w="584" w:type="pct"/>
            <w:tcBorders>
              <w:top w:val="nil"/>
              <w:left w:val="nil"/>
              <w:bottom w:val="single" w:sz="4" w:space="0" w:color="auto"/>
              <w:right w:val="single" w:sz="4" w:space="0" w:color="auto"/>
            </w:tcBorders>
            <w:shd w:val="clear" w:color="auto" w:fill="FFFFFF"/>
            <w:vAlign w:val="center"/>
            <w:hideMark/>
          </w:tcPr>
          <w:p w14:paraId="5709BEA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19,862,101,073</w:t>
            </w:r>
          </w:p>
        </w:tc>
        <w:tc>
          <w:tcPr>
            <w:tcW w:w="584" w:type="pct"/>
            <w:tcBorders>
              <w:top w:val="nil"/>
              <w:left w:val="nil"/>
              <w:bottom w:val="single" w:sz="4" w:space="0" w:color="auto"/>
              <w:right w:val="single" w:sz="4" w:space="0" w:color="auto"/>
            </w:tcBorders>
            <w:shd w:val="clear" w:color="auto" w:fill="FFFFFF"/>
            <w:vAlign w:val="center"/>
            <w:hideMark/>
          </w:tcPr>
          <w:p w14:paraId="2BE4BDE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16,251,754,808</w:t>
            </w:r>
          </w:p>
        </w:tc>
        <w:tc>
          <w:tcPr>
            <w:tcW w:w="673" w:type="pct"/>
            <w:tcBorders>
              <w:top w:val="nil"/>
              <w:left w:val="nil"/>
              <w:bottom w:val="single" w:sz="4" w:space="0" w:color="auto"/>
              <w:right w:val="single" w:sz="4" w:space="0" w:color="auto"/>
            </w:tcBorders>
            <w:shd w:val="clear" w:color="auto" w:fill="FFFFFF"/>
            <w:vAlign w:val="center"/>
            <w:hideMark/>
          </w:tcPr>
          <w:p w14:paraId="0157071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15,975,182,001</w:t>
            </w:r>
          </w:p>
        </w:tc>
        <w:tc>
          <w:tcPr>
            <w:tcW w:w="694" w:type="pct"/>
            <w:tcBorders>
              <w:top w:val="nil"/>
              <w:left w:val="nil"/>
              <w:bottom w:val="single" w:sz="4" w:space="0" w:color="auto"/>
              <w:right w:val="single" w:sz="4" w:space="0" w:color="auto"/>
            </w:tcBorders>
            <w:shd w:val="clear" w:color="auto" w:fill="FFFFFF"/>
            <w:vAlign w:val="center"/>
            <w:hideMark/>
          </w:tcPr>
          <w:p w14:paraId="02B7B69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10,663,949,332</w:t>
            </w:r>
          </w:p>
        </w:tc>
      </w:tr>
      <w:tr w:rsidR="00CB04CD" w:rsidRPr="00E84DBE" w14:paraId="602E07B5" w14:textId="77777777" w:rsidTr="00512318">
        <w:trPr>
          <w:trHeight w:val="20"/>
        </w:trPr>
        <w:tc>
          <w:tcPr>
            <w:tcW w:w="126" w:type="pct"/>
            <w:tcBorders>
              <w:top w:val="single" w:sz="4" w:space="0" w:color="auto"/>
              <w:left w:val="single" w:sz="4" w:space="0" w:color="auto"/>
              <w:bottom w:val="nil"/>
              <w:right w:val="nil"/>
            </w:tcBorders>
            <w:noWrap/>
            <w:hideMark/>
          </w:tcPr>
          <w:p w14:paraId="58B48A3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lastRenderedPageBreak/>
              <w:t>2.</w:t>
            </w:r>
          </w:p>
        </w:tc>
        <w:tc>
          <w:tcPr>
            <w:tcW w:w="1332" w:type="pct"/>
            <w:gridSpan w:val="2"/>
            <w:tcBorders>
              <w:top w:val="single" w:sz="4" w:space="0" w:color="auto"/>
              <w:left w:val="nil"/>
              <w:bottom w:val="nil"/>
              <w:right w:val="single" w:sz="4" w:space="0" w:color="000000"/>
            </w:tcBorders>
            <w:hideMark/>
          </w:tcPr>
          <w:p w14:paraId="21265C8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Transferencias Federales Etiquetadas</w:t>
            </w:r>
          </w:p>
        </w:tc>
        <w:tc>
          <w:tcPr>
            <w:tcW w:w="423" w:type="pct"/>
            <w:tcBorders>
              <w:top w:val="single" w:sz="4" w:space="0" w:color="auto"/>
              <w:left w:val="single" w:sz="4" w:space="0" w:color="auto"/>
              <w:bottom w:val="nil"/>
              <w:right w:val="single" w:sz="4" w:space="0" w:color="auto"/>
            </w:tcBorders>
            <w:shd w:val="clear" w:color="auto" w:fill="FFFFFF"/>
            <w:vAlign w:val="center"/>
            <w:hideMark/>
          </w:tcPr>
          <w:p w14:paraId="57B99CD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4,000,000,000</w:t>
            </w:r>
          </w:p>
        </w:tc>
        <w:tc>
          <w:tcPr>
            <w:tcW w:w="584" w:type="pct"/>
            <w:tcBorders>
              <w:top w:val="single" w:sz="4" w:space="0" w:color="auto"/>
              <w:left w:val="nil"/>
              <w:bottom w:val="nil"/>
              <w:right w:val="single" w:sz="4" w:space="0" w:color="auto"/>
            </w:tcBorders>
            <w:shd w:val="clear" w:color="auto" w:fill="FFFFFF"/>
            <w:vAlign w:val="center"/>
            <w:hideMark/>
          </w:tcPr>
          <w:p w14:paraId="06C385A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37,001,433,875</w:t>
            </w:r>
          </w:p>
        </w:tc>
        <w:tc>
          <w:tcPr>
            <w:tcW w:w="584" w:type="pct"/>
            <w:tcBorders>
              <w:top w:val="single" w:sz="4" w:space="0" w:color="auto"/>
              <w:left w:val="nil"/>
              <w:bottom w:val="nil"/>
              <w:right w:val="single" w:sz="4" w:space="0" w:color="auto"/>
            </w:tcBorders>
            <w:shd w:val="clear" w:color="auto" w:fill="FFFFFF"/>
            <w:vAlign w:val="center"/>
            <w:hideMark/>
          </w:tcPr>
          <w:p w14:paraId="15EA45E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3,101,299,927</w:t>
            </w:r>
          </w:p>
        </w:tc>
        <w:tc>
          <w:tcPr>
            <w:tcW w:w="584" w:type="pct"/>
            <w:tcBorders>
              <w:top w:val="single" w:sz="4" w:space="0" w:color="auto"/>
              <w:left w:val="nil"/>
              <w:bottom w:val="nil"/>
              <w:right w:val="single" w:sz="4" w:space="0" w:color="auto"/>
            </w:tcBorders>
            <w:shd w:val="clear" w:color="auto" w:fill="FFFFFF"/>
            <w:vAlign w:val="center"/>
            <w:hideMark/>
          </w:tcPr>
          <w:p w14:paraId="5789B07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4,952,242,192</w:t>
            </w:r>
          </w:p>
        </w:tc>
        <w:tc>
          <w:tcPr>
            <w:tcW w:w="673" w:type="pct"/>
            <w:tcBorders>
              <w:top w:val="single" w:sz="4" w:space="0" w:color="auto"/>
              <w:left w:val="nil"/>
              <w:bottom w:val="nil"/>
              <w:right w:val="single" w:sz="4" w:space="0" w:color="auto"/>
            </w:tcBorders>
            <w:shd w:val="clear" w:color="auto" w:fill="FFFFFF"/>
            <w:vAlign w:val="center"/>
            <w:hideMark/>
          </w:tcPr>
          <w:p w14:paraId="5844EDB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8,677,021,999</w:t>
            </w:r>
          </w:p>
        </w:tc>
        <w:tc>
          <w:tcPr>
            <w:tcW w:w="694" w:type="pct"/>
            <w:tcBorders>
              <w:top w:val="single" w:sz="4" w:space="0" w:color="auto"/>
              <w:left w:val="nil"/>
              <w:bottom w:val="nil"/>
              <w:right w:val="single" w:sz="4" w:space="0" w:color="auto"/>
            </w:tcBorders>
            <w:shd w:val="clear" w:color="auto" w:fill="FFFFFF"/>
            <w:vAlign w:val="center"/>
            <w:hideMark/>
          </w:tcPr>
          <w:p w14:paraId="675FC5A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1,800,830,606</w:t>
            </w:r>
          </w:p>
        </w:tc>
      </w:tr>
      <w:tr w:rsidR="00CB04CD" w:rsidRPr="00E84DBE" w14:paraId="3813FF48" w14:textId="77777777" w:rsidTr="00CB04CD">
        <w:trPr>
          <w:trHeight w:val="20"/>
        </w:trPr>
        <w:tc>
          <w:tcPr>
            <w:tcW w:w="126" w:type="pct"/>
            <w:tcBorders>
              <w:top w:val="nil"/>
              <w:left w:val="single" w:sz="4" w:space="0" w:color="auto"/>
              <w:bottom w:val="nil"/>
              <w:right w:val="nil"/>
            </w:tcBorders>
            <w:noWrap/>
            <w:hideMark/>
          </w:tcPr>
          <w:p w14:paraId="60EA908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hideMark/>
          </w:tcPr>
          <w:p w14:paraId="21B69854"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74FEA4D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shd w:val="clear" w:color="auto" w:fill="FFFFFF"/>
            <w:hideMark/>
          </w:tcPr>
          <w:p w14:paraId="680662C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shd w:val="clear" w:color="auto" w:fill="FFFFFF"/>
            <w:hideMark/>
          </w:tcPr>
          <w:p w14:paraId="58097A8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shd w:val="clear" w:color="auto" w:fill="FFFFFF"/>
            <w:hideMark/>
          </w:tcPr>
          <w:p w14:paraId="7EAEC3B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shd w:val="clear" w:color="auto" w:fill="FFFFFF"/>
            <w:hideMark/>
          </w:tcPr>
          <w:p w14:paraId="11973D8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shd w:val="clear" w:color="auto" w:fill="FFFFFF"/>
            <w:hideMark/>
          </w:tcPr>
          <w:p w14:paraId="7220ACE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shd w:val="clear" w:color="auto" w:fill="FFFFFF"/>
            <w:hideMark/>
          </w:tcPr>
          <w:p w14:paraId="6A96D91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7AA3B1A4" w14:textId="77777777" w:rsidTr="00CB04CD">
        <w:trPr>
          <w:trHeight w:val="20"/>
        </w:trPr>
        <w:tc>
          <w:tcPr>
            <w:tcW w:w="126" w:type="pct"/>
            <w:tcBorders>
              <w:top w:val="nil"/>
              <w:left w:val="single" w:sz="4" w:space="0" w:color="auto"/>
              <w:bottom w:val="nil"/>
              <w:right w:val="nil"/>
            </w:tcBorders>
            <w:noWrap/>
            <w:hideMark/>
          </w:tcPr>
          <w:p w14:paraId="72354D83"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332" w:type="pct"/>
            <w:gridSpan w:val="2"/>
            <w:tcBorders>
              <w:top w:val="nil"/>
              <w:left w:val="nil"/>
              <w:bottom w:val="nil"/>
              <w:right w:val="single" w:sz="4" w:space="0" w:color="000000"/>
            </w:tcBorders>
            <w:hideMark/>
          </w:tcPr>
          <w:p w14:paraId="01EB8B1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Derivados de Financiamiento</w:t>
            </w:r>
            <w:r w:rsidRPr="00E84DBE">
              <w:rPr>
                <w:rFonts w:eastAsia="Times New Roman" w:cs="Arial"/>
                <w:b/>
                <w:bCs/>
                <w:sz w:val="14"/>
                <w:szCs w:val="14"/>
                <w:lang w:eastAsia="es-MX"/>
              </w:rPr>
              <w:br/>
              <w:t>(3=1+2)</w:t>
            </w:r>
          </w:p>
        </w:tc>
        <w:tc>
          <w:tcPr>
            <w:tcW w:w="423" w:type="pct"/>
            <w:tcBorders>
              <w:top w:val="nil"/>
              <w:left w:val="single" w:sz="4" w:space="0" w:color="auto"/>
              <w:bottom w:val="nil"/>
              <w:right w:val="single" w:sz="4" w:space="0" w:color="auto"/>
            </w:tcBorders>
            <w:vAlign w:val="center"/>
            <w:hideMark/>
          </w:tcPr>
          <w:p w14:paraId="44428AA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6,507,512,600</w:t>
            </w:r>
          </w:p>
        </w:tc>
        <w:tc>
          <w:tcPr>
            <w:tcW w:w="584" w:type="pct"/>
            <w:tcBorders>
              <w:top w:val="nil"/>
              <w:left w:val="nil"/>
              <w:bottom w:val="nil"/>
              <w:right w:val="single" w:sz="4" w:space="0" w:color="auto"/>
            </w:tcBorders>
            <w:vAlign w:val="center"/>
            <w:hideMark/>
          </w:tcPr>
          <w:p w14:paraId="47CDF81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39,846,667,000</w:t>
            </w:r>
          </w:p>
        </w:tc>
        <w:tc>
          <w:tcPr>
            <w:tcW w:w="584" w:type="pct"/>
            <w:tcBorders>
              <w:top w:val="nil"/>
              <w:left w:val="nil"/>
              <w:bottom w:val="nil"/>
              <w:right w:val="single" w:sz="4" w:space="0" w:color="auto"/>
            </w:tcBorders>
            <w:vAlign w:val="center"/>
            <w:hideMark/>
          </w:tcPr>
          <w:p w14:paraId="43B38FE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22,963,401,000</w:t>
            </w:r>
          </w:p>
        </w:tc>
        <w:tc>
          <w:tcPr>
            <w:tcW w:w="584" w:type="pct"/>
            <w:tcBorders>
              <w:top w:val="nil"/>
              <w:left w:val="nil"/>
              <w:bottom w:val="nil"/>
              <w:right w:val="single" w:sz="4" w:space="0" w:color="auto"/>
            </w:tcBorders>
            <w:vAlign w:val="center"/>
            <w:hideMark/>
          </w:tcPr>
          <w:p w14:paraId="5AA3787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21,203,997,000</w:t>
            </w:r>
          </w:p>
        </w:tc>
        <w:tc>
          <w:tcPr>
            <w:tcW w:w="673" w:type="pct"/>
            <w:tcBorders>
              <w:top w:val="nil"/>
              <w:left w:val="nil"/>
              <w:bottom w:val="nil"/>
              <w:right w:val="single" w:sz="4" w:space="0" w:color="auto"/>
            </w:tcBorders>
            <w:vAlign w:val="center"/>
            <w:hideMark/>
          </w:tcPr>
          <w:p w14:paraId="4C50486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24,652,204,000</w:t>
            </w:r>
          </w:p>
        </w:tc>
        <w:tc>
          <w:tcPr>
            <w:tcW w:w="694" w:type="pct"/>
            <w:tcBorders>
              <w:top w:val="nil"/>
              <w:left w:val="nil"/>
              <w:bottom w:val="nil"/>
              <w:right w:val="single" w:sz="4" w:space="0" w:color="auto"/>
            </w:tcBorders>
            <w:vAlign w:val="center"/>
            <w:hideMark/>
          </w:tcPr>
          <w:p w14:paraId="3EF5E6C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12,464,779,938</w:t>
            </w:r>
          </w:p>
        </w:tc>
      </w:tr>
      <w:tr w:rsidR="00CB04CD" w:rsidRPr="00E84DBE" w14:paraId="012B9299" w14:textId="77777777" w:rsidTr="00CB04CD">
        <w:trPr>
          <w:trHeight w:val="20"/>
        </w:trPr>
        <w:tc>
          <w:tcPr>
            <w:tcW w:w="126" w:type="pct"/>
            <w:tcBorders>
              <w:top w:val="nil"/>
              <w:left w:val="single" w:sz="4" w:space="0" w:color="auto"/>
              <w:bottom w:val="single" w:sz="4" w:space="0" w:color="auto"/>
              <w:right w:val="nil"/>
            </w:tcBorders>
            <w:noWrap/>
            <w:hideMark/>
          </w:tcPr>
          <w:p w14:paraId="74E2CDB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tcBorders>
              <w:top w:val="nil"/>
              <w:left w:val="nil"/>
              <w:bottom w:val="single" w:sz="4" w:space="0" w:color="auto"/>
              <w:right w:val="nil"/>
            </w:tcBorders>
            <w:noWrap/>
            <w:hideMark/>
          </w:tcPr>
          <w:p w14:paraId="3BFC0B4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179" w:type="pct"/>
            <w:tcBorders>
              <w:top w:val="nil"/>
              <w:left w:val="nil"/>
              <w:bottom w:val="single" w:sz="4" w:space="0" w:color="auto"/>
              <w:right w:val="single" w:sz="4" w:space="0" w:color="auto"/>
            </w:tcBorders>
            <w:hideMark/>
          </w:tcPr>
          <w:p w14:paraId="4F48819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single" w:sz="4" w:space="0" w:color="auto"/>
              <w:right w:val="single" w:sz="4" w:space="0" w:color="auto"/>
            </w:tcBorders>
            <w:hideMark/>
          </w:tcPr>
          <w:p w14:paraId="2BA195C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single" w:sz="4" w:space="0" w:color="auto"/>
              <w:right w:val="single" w:sz="4" w:space="0" w:color="auto"/>
            </w:tcBorders>
            <w:hideMark/>
          </w:tcPr>
          <w:p w14:paraId="70FB545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single" w:sz="4" w:space="0" w:color="auto"/>
              <w:right w:val="single" w:sz="4" w:space="0" w:color="auto"/>
            </w:tcBorders>
            <w:hideMark/>
          </w:tcPr>
          <w:p w14:paraId="74DFB37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single" w:sz="4" w:space="0" w:color="auto"/>
              <w:right w:val="single" w:sz="4" w:space="0" w:color="auto"/>
            </w:tcBorders>
            <w:hideMark/>
          </w:tcPr>
          <w:p w14:paraId="44F5EEF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single" w:sz="4" w:space="0" w:color="auto"/>
              <w:right w:val="single" w:sz="4" w:space="0" w:color="auto"/>
            </w:tcBorders>
            <w:hideMark/>
          </w:tcPr>
          <w:p w14:paraId="29DD863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single" w:sz="4" w:space="0" w:color="auto"/>
              <w:right w:val="single" w:sz="4" w:space="0" w:color="auto"/>
            </w:tcBorders>
            <w:hideMark/>
          </w:tcPr>
          <w:p w14:paraId="3273024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469DFC56" w14:textId="77777777" w:rsidTr="00CB04CD">
        <w:trPr>
          <w:trHeight w:val="20"/>
        </w:trPr>
        <w:tc>
          <w:tcPr>
            <w:tcW w:w="5000" w:type="pct"/>
            <w:gridSpan w:val="9"/>
            <w:tcBorders>
              <w:top w:val="single" w:sz="4" w:space="0" w:color="auto"/>
              <w:left w:val="nil"/>
              <w:bottom w:val="nil"/>
              <w:right w:val="nil"/>
            </w:tcBorders>
            <w:noWrap/>
            <w:hideMark/>
          </w:tcPr>
          <w:p w14:paraId="7FA3B68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1</w:t>
            </w:r>
            <w:r w:rsidRPr="00E84DBE">
              <w:rPr>
                <w:rFonts w:eastAsia="Times New Roman" w:cs="Arial"/>
                <w:sz w:val="14"/>
                <w:szCs w:val="14"/>
                <w:lang w:eastAsia="es-MX"/>
              </w:rPr>
              <w:t xml:space="preserve"> Los importes corresponden al momento contable de los ingresos devengados.</w:t>
            </w:r>
          </w:p>
        </w:tc>
      </w:tr>
      <w:tr w:rsidR="00CB04CD" w:rsidRPr="00E84DBE" w14:paraId="5DB9C5DF" w14:textId="77777777" w:rsidTr="00CB04CD">
        <w:trPr>
          <w:trHeight w:val="20"/>
        </w:trPr>
        <w:tc>
          <w:tcPr>
            <w:tcW w:w="5000" w:type="pct"/>
            <w:gridSpan w:val="9"/>
            <w:shd w:val="clear" w:color="auto" w:fill="FFFFFF"/>
            <w:noWrap/>
            <w:hideMark/>
          </w:tcPr>
          <w:p w14:paraId="35E6438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2</w:t>
            </w:r>
            <w:r w:rsidRPr="00E84DBE">
              <w:rPr>
                <w:rFonts w:eastAsia="Times New Roman" w:cs="Arial"/>
                <w:sz w:val="14"/>
                <w:szCs w:val="14"/>
                <w:lang w:eastAsia="es-MX"/>
              </w:rPr>
              <w:t xml:space="preserve"> Los importes corresponden a los ingresos devengados al cierre trimestral más reciente disponible y estimados para el resto del ejercicio.</w:t>
            </w:r>
          </w:p>
        </w:tc>
      </w:tr>
      <w:tr w:rsidR="00CB04CD" w:rsidRPr="00E84DBE" w14:paraId="1104E202" w14:textId="77777777" w:rsidTr="00CB04CD">
        <w:trPr>
          <w:trHeight w:val="20"/>
        </w:trPr>
        <w:tc>
          <w:tcPr>
            <w:tcW w:w="5000" w:type="pct"/>
            <w:gridSpan w:val="9"/>
            <w:shd w:val="clear" w:color="auto" w:fill="FFFFFF"/>
            <w:noWrap/>
            <w:hideMark/>
          </w:tcPr>
          <w:p w14:paraId="3AE8D37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3</w:t>
            </w:r>
            <w:r w:rsidRPr="00E84DBE">
              <w:rPr>
                <w:rFonts w:eastAsia="Times New Roman" w:cs="Arial"/>
                <w:sz w:val="14"/>
                <w:szCs w:val="14"/>
                <w:lang w:eastAsia="es-MX"/>
              </w:rPr>
              <w:t xml:space="preserve"> Para los ejercicios 2019, 2020, 2021 y 2022 se incluye el Fondo de Estabilización de las Entidades Federativas.</w:t>
            </w:r>
          </w:p>
        </w:tc>
      </w:tr>
      <w:tr w:rsidR="00CB04CD" w:rsidRPr="00E84DBE" w14:paraId="74EFB25E" w14:textId="77777777" w:rsidTr="00CB04CD">
        <w:trPr>
          <w:trHeight w:val="20"/>
        </w:trPr>
        <w:tc>
          <w:tcPr>
            <w:tcW w:w="5000" w:type="pct"/>
            <w:gridSpan w:val="9"/>
            <w:shd w:val="clear" w:color="auto" w:fill="FFFFFF"/>
            <w:noWrap/>
            <w:hideMark/>
          </w:tcPr>
          <w:p w14:paraId="035F2A8A" w14:textId="3975E5D0"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4</w:t>
            </w:r>
            <w:r w:rsidRPr="00E84DBE">
              <w:rPr>
                <w:rFonts w:eastAsia="Times New Roman" w:cs="Arial"/>
                <w:sz w:val="14"/>
                <w:szCs w:val="14"/>
                <w:lang w:eastAsia="es-MX"/>
              </w:rPr>
              <w:t xml:space="preserve"> Para el año 2022 se considera el importe autorizado en la Ley de Ingresos del Estado de México para el </w:t>
            </w:r>
            <w:r w:rsidR="003A691E" w:rsidRPr="00E84DBE">
              <w:rPr>
                <w:rFonts w:eastAsia="Times New Roman" w:cs="Arial"/>
                <w:sz w:val="14"/>
                <w:szCs w:val="14"/>
                <w:lang w:eastAsia="es-MX"/>
              </w:rPr>
              <w:t xml:space="preserve">Ejercicio Fiscal </w:t>
            </w:r>
            <w:r w:rsidRPr="00E84DBE">
              <w:rPr>
                <w:rFonts w:eastAsia="Times New Roman" w:cs="Arial"/>
                <w:sz w:val="14"/>
                <w:szCs w:val="14"/>
                <w:lang w:eastAsia="es-MX"/>
              </w:rPr>
              <w:t>2022.</w:t>
            </w:r>
          </w:p>
        </w:tc>
      </w:tr>
    </w:tbl>
    <w:p w14:paraId="20C4B24F" w14:textId="77777777" w:rsidR="00EC001D" w:rsidRDefault="00EC001D" w:rsidP="00A654FF">
      <w:pPr>
        <w:jc w:val="center"/>
        <w:rPr>
          <w:noProof/>
          <w:lang w:eastAsia="es-MX"/>
        </w:rPr>
      </w:pPr>
    </w:p>
    <w:p w14:paraId="392BE1F5" w14:textId="77777777" w:rsidR="004A0A01" w:rsidRPr="00E84DBE" w:rsidRDefault="004A0A01" w:rsidP="00A654FF">
      <w:pPr>
        <w:jc w:val="center"/>
        <w:rPr>
          <w:noProof/>
          <w:lang w:eastAsia="es-MX"/>
        </w:rPr>
      </w:pPr>
    </w:p>
    <w:tbl>
      <w:tblPr>
        <w:tblpPr w:leftFromText="141" w:rightFromText="141" w:bottomFromText="160" w:vertAnchor="text" w:horzAnchor="margin" w:tblpXSpec="center" w:tblpY="99"/>
        <w:tblW w:w="5837" w:type="pct"/>
        <w:tblCellMar>
          <w:left w:w="70" w:type="dxa"/>
          <w:right w:w="70" w:type="dxa"/>
        </w:tblCellMar>
        <w:tblLook w:val="04A0" w:firstRow="1" w:lastRow="0" w:firstColumn="1" w:lastColumn="0" w:noHBand="0" w:noVBand="1"/>
      </w:tblPr>
      <w:tblGrid>
        <w:gridCol w:w="433"/>
        <w:gridCol w:w="306"/>
        <w:gridCol w:w="2258"/>
        <w:gridCol w:w="1218"/>
        <w:gridCol w:w="1218"/>
        <w:gridCol w:w="1218"/>
        <w:gridCol w:w="1218"/>
        <w:gridCol w:w="1218"/>
        <w:gridCol w:w="1394"/>
      </w:tblGrid>
      <w:tr w:rsidR="00CB04CD" w:rsidRPr="00E84DBE" w14:paraId="7DEB690F" w14:textId="77777777" w:rsidTr="004A0A01">
        <w:trPr>
          <w:trHeight w:val="227"/>
        </w:trPr>
        <w:tc>
          <w:tcPr>
            <w:tcW w:w="5000" w:type="pct"/>
            <w:gridSpan w:val="9"/>
            <w:tcBorders>
              <w:top w:val="single" w:sz="4" w:space="0" w:color="auto"/>
              <w:left w:val="single" w:sz="4" w:space="0" w:color="auto"/>
              <w:bottom w:val="nil"/>
              <w:right w:val="single" w:sz="4" w:space="0" w:color="000000"/>
            </w:tcBorders>
            <w:shd w:val="clear" w:color="auto" w:fill="D9D9D9"/>
            <w:noWrap/>
            <w:hideMark/>
          </w:tcPr>
          <w:p w14:paraId="38D9284A"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ESTADO DE MÉXICO</w:t>
            </w:r>
          </w:p>
        </w:tc>
      </w:tr>
      <w:tr w:rsidR="00CB04CD" w:rsidRPr="00E84DBE" w14:paraId="3361780E" w14:textId="77777777" w:rsidTr="004A0A01">
        <w:trPr>
          <w:trHeight w:val="227"/>
        </w:trPr>
        <w:tc>
          <w:tcPr>
            <w:tcW w:w="5000" w:type="pct"/>
            <w:gridSpan w:val="9"/>
            <w:tcBorders>
              <w:top w:val="nil"/>
              <w:left w:val="single" w:sz="4" w:space="0" w:color="auto"/>
              <w:bottom w:val="nil"/>
              <w:right w:val="single" w:sz="4" w:space="0" w:color="000000"/>
            </w:tcBorders>
            <w:shd w:val="clear" w:color="auto" w:fill="D9D9D9"/>
            <w:noWrap/>
            <w:hideMark/>
          </w:tcPr>
          <w:p w14:paraId="4B2A5DE8"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Proyecciones de Ley de Ingresos - LDF</w:t>
            </w:r>
          </w:p>
        </w:tc>
      </w:tr>
      <w:tr w:rsidR="00CB04CD" w:rsidRPr="00E84DBE" w14:paraId="7BBAE280" w14:textId="77777777" w:rsidTr="004A0A01">
        <w:trPr>
          <w:trHeight w:val="227"/>
        </w:trPr>
        <w:tc>
          <w:tcPr>
            <w:tcW w:w="5000" w:type="pct"/>
            <w:gridSpan w:val="9"/>
            <w:tcBorders>
              <w:top w:val="nil"/>
              <w:left w:val="single" w:sz="4" w:space="0" w:color="auto"/>
              <w:bottom w:val="single" w:sz="4" w:space="0" w:color="auto"/>
              <w:right w:val="single" w:sz="4" w:space="0" w:color="000000"/>
            </w:tcBorders>
            <w:shd w:val="clear" w:color="auto" w:fill="D9D9D9"/>
            <w:noWrap/>
            <w:hideMark/>
          </w:tcPr>
          <w:p w14:paraId="3D4784B5"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(PESOS)</w:t>
            </w:r>
          </w:p>
        </w:tc>
      </w:tr>
      <w:tr w:rsidR="00CB04CD" w:rsidRPr="00E84DBE" w14:paraId="66A3A5EE" w14:textId="77777777" w:rsidTr="004A0A01">
        <w:trPr>
          <w:trHeight w:val="227"/>
        </w:trPr>
        <w:tc>
          <w:tcPr>
            <w:tcW w:w="143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904508"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Concepto</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78B5198C"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2023</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56A2014D"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2024</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2018C11D"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2025</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70B53CB7"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2026</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73E727BF"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2027</w:t>
            </w:r>
          </w:p>
        </w:tc>
        <w:tc>
          <w:tcPr>
            <w:tcW w:w="667" w:type="pct"/>
            <w:tcBorders>
              <w:top w:val="single" w:sz="4" w:space="0" w:color="auto"/>
              <w:left w:val="nil"/>
              <w:bottom w:val="single" w:sz="4" w:space="0" w:color="auto"/>
              <w:right w:val="single" w:sz="4" w:space="0" w:color="auto"/>
            </w:tcBorders>
            <w:shd w:val="clear" w:color="auto" w:fill="D9D9D9"/>
            <w:vAlign w:val="center"/>
            <w:hideMark/>
          </w:tcPr>
          <w:p w14:paraId="05ECC08D" w14:textId="77777777" w:rsidR="00CB04CD" w:rsidRPr="00E84DBE" w:rsidRDefault="00CB04CD" w:rsidP="00C34029">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2028</w:t>
            </w:r>
          </w:p>
        </w:tc>
      </w:tr>
      <w:tr w:rsidR="00CB04CD" w:rsidRPr="00E84DBE" w14:paraId="334B28AB" w14:textId="77777777" w:rsidTr="00CB04CD">
        <w:trPr>
          <w:trHeight w:val="227"/>
        </w:trPr>
        <w:tc>
          <w:tcPr>
            <w:tcW w:w="207" w:type="pct"/>
            <w:tcBorders>
              <w:top w:val="nil"/>
              <w:left w:val="single" w:sz="4" w:space="0" w:color="auto"/>
              <w:bottom w:val="nil"/>
              <w:right w:val="nil"/>
            </w:tcBorders>
            <w:shd w:val="clear" w:color="auto" w:fill="FFFFFF"/>
            <w:noWrap/>
            <w:hideMark/>
          </w:tcPr>
          <w:p w14:paraId="2F218AF5"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46" w:type="pct"/>
            <w:shd w:val="clear" w:color="auto" w:fill="FFFFFF"/>
            <w:noWrap/>
            <w:hideMark/>
          </w:tcPr>
          <w:p w14:paraId="34DC9745"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077" w:type="pct"/>
            <w:tcBorders>
              <w:top w:val="single" w:sz="4" w:space="0" w:color="auto"/>
              <w:left w:val="nil"/>
              <w:bottom w:val="nil"/>
              <w:right w:val="single" w:sz="4" w:space="0" w:color="auto"/>
            </w:tcBorders>
            <w:shd w:val="clear" w:color="auto" w:fill="FFFFFF"/>
            <w:hideMark/>
          </w:tcPr>
          <w:p w14:paraId="0DA409BC"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single" w:sz="4" w:space="0" w:color="auto"/>
              <w:bottom w:val="nil"/>
              <w:right w:val="single" w:sz="4" w:space="0" w:color="auto"/>
            </w:tcBorders>
            <w:shd w:val="clear" w:color="auto" w:fill="FFFFFF"/>
            <w:hideMark/>
          </w:tcPr>
          <w:p w14:paraId="691638B4"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148A2F34"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1441A141"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34D3F967"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4313C680"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67" w:type="pct"/>
            <w:tcBorders>
              <w:top w:val="nil"/>
              <w:left w:val="nil"/>
              <w:bottom w:val="nil"/>
              <w:right w:val="single" w:sz="4" w:space="0" w:color="auto"/>
            </w:tcBorders>
            <w:shd w:val="clear" w:color="auto" w:fill="FFFFFF"/>
            <w:hideMark/>
          </w:tcPr>
          <w:p w14:paraId="68B2ED6C"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r>
      <w:tr w:rsidR="00CB04CD" w:rsidRPr="00E84DBE" w14:paraId="69A889C9" w14:textId="77777777" w:rsidTr="00CB04CD">
        <w:trPr>
          <w:trHeight w:val="227"/>
        </w:trPr>
        <w:tc>
          <w:tcPr>
            <w:tcW w:w="207" w:type="pct"/>
            <w:tcBorders>
              <w:top w:val="nil"/>
              <w:left w:val="single" w:sz="4" w:space="0" w:color="auto"/>
              <w:bottom w:val="nil"/>
              <w:right w:val="nil"/>
            </w:tcBorders>
            <w:shd w:val="clear" w:color="auto" w:fill="FFFFFF"/>
            <w:noWrap/>
            <w:hideMark/>
          </w:tcPr>
          <w:p w14:paraId="6563F931"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1.</w:t>
            </w:r>
          </w:p>
        </w:tc>
        <w:tc>
          <w:tcPr>
            <w:tcW w:w="1223" w:type="pct"/>
            <w:gridSpan w:val="2"/>
            <w:tcBorders>
              <w:top w:val="nil"/>
              <w:left w:val="nil"/>
              <w:bottom w:val="nil"/>
              <w:right w:val="single" w:sz="4" w:space="0" w:color="000000"/>
            </w:tcBorders>
            <w:hideMark/>
          </w:tcPr>
          <w:p w14:paraId="475BBB2C"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Libre Disposición</w:t>
            </w:r>
            <w:r w:rsidRPr="00E84DBE">
              <w:rPr>
                <w:rFonts w:eastAsia="Times New Roman" w:cs="Arial"/>
                <w:b/>
                <w:bCs/>
                <w:sz w:val="14"/>
                <w:szCs w:val="14"/>
                <w:lang w:eastAsia="es-MX"/>
              </w:rPr>
              <w:br/>
              <w:t>(1 = A+B+C+D+E+F+G+H+I+J+K+L)</w:t>
            </w:r>
          </w:p>
        </w:tc>
        <w:tc>
          <w:tcPr>
            <w:tcW w:w="581" w:type="pct"/>
            <w:tcBorders>
              <w:top w:val="nil"/>
              <w:left w:val="single" w:sz="4" w:space="0" w:color="auto"/>
              <w:bottom w:val="nil"/>
              <w:right w:val="single" w:sz="4" w:space="0" w:color="auto"/>
            </w:tcBorders>
            <w:vAlign w:val="center"/>
            <w:hideMark/>
          </w:tcPr>
          <w:p w14:paraId="25284FD1"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233,670,575,806</w:t>
            </w:r>
          </w:p>
        </w:tc>
        <w:tc>
          <w:tcPr>
            <w:tcW w:w="581" w:type="pct"/>
            <w:tcBorders>
              <w:top w:val="nil"/>
              <w:left w:val="nil"/>
              <w:bottom w:val="nil"/>
              <w:right w:val="single" w:sz="4" w:space="0" w:color="auto"/>
            </w:tcBorders>
            <w:vAlign w:val="center"/>
            <w:hideMark/>
          </w:tcPr>
          <w:p w14:paraId="168ACDAF"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246,564,682,751</w:t>
            </w:r>
          </w:p>
        </w:tc>
        <w:tc>
          <w:tcPr>
            <w:tcW w:w="581" w:type="pct"/>
            <w:tcBorders>
              <w:top w:val="nil"/>
              <w:left w:val="nil"/>
              <w:bottom w:val="nil"/>
              <w:right w:val="single" w:sz="4" w:space="0" w:color="auto"/>
            </w:tcBorders>
            <w:vAlign w:val="center"/>
            <w:hideMark/>
          </w:tcPr>
          <w:p w14:paraId="6601745C"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259,956,501,739</w:t>
            </w:r>
          </w:p>
        </w:tc>
        <w:tc>
          <w:tcPr>
            <w:tcW w:w="581" w:type="pct"/>
            <w:tcBorders>
              <w:top w:val="nil"/>
              <w:left w:val="nil"/>
              <w:bottom w:val="nil"/>
              <w:right w:val="single" w:sz="4" w:space="0" w:color="auto"/>
            </w:tcBorders>
            <w:vAlign w:val="center"/>
            <w:hideMark/>
          </w:tcPr>
          <w:p w14:paraId="60D9D9B1"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274,748,390,131</w:t>
            </w:r>
          </w:p>
        </w:tc>
        <w:tc>
          <w:tcPr>
            <w:tcW w:w="581" w:type="pct"/>
            <w:tcBorders>
              <w:top w:val="nil"/>
              <w:left w:val="nil"/>
              <w:bottom w:val="nil"/>
              <w:right w:val="single" w:sz="4" w:space="0" w:color="auto"/>
            </w:tcBorders>
            <w:vAlign w:val="center"/>
            <w:hideMark/>
          </w:tcPr>
          <w:p w14:paraId="20814733"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289,988,028,778</w:t>
            </w:r>
          </w:p>
        </w:tc>
        <w:tc>
          <w:tcPr>
            <w:tcW w:w="667" w:type="pct"/>
            <w:tcBorders>
              <w:top w:val="nil"/>
              <w:left w:val="nil"/>
              <w:bottom w:val="nil"/>
              <w:right w:val="single" w:sz="4" w:space="0" w:color="auto"/>
            </w:tcBorders>
            <w:vAlign w:val="center"/>
            <w:hideMark/>
          </w:tcPr>
          <w:p w14:paraId="1A953896"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306,250,070,611</w:t>
            </w:r>
          </w:p>
        </w:tc>
      </w:tr>
      <w:tr w:rsidR="00CB04CD" w:rsidRPr="00E84DBE" w14:paraId="6649D049" w14:textId="77777777" w:rsidTr="00CB04CD">
        <w:trPr>
          <w:trHeight w:val="227"/>
        </w:trPr>
        <w:tc>
          <w:tcPr>
            <w:tcW w:w="207" w:type="pct"/>
            <w:tcBorders>
              <w:top w:val="nil"/>
              <w:left w:val="single" w:sz="4" w:space="0" w:color="auto"/>
              <w:bottom w:val="nil"/>
              <w:right w:val="nil"/>
            </w:tcBorders>
            <w:shd w:val="clear" w:color="auto" w:fill="FFFFFF"/>
            <w:noWrap/>
            <w:hideMark/>
          </w:tcPr>
          <w:p w14:paraId="01BAE62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7A1CED03"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077" w:type="pct"/>
            <w:tcBorders>
              <w:top w:val="nil"/>
              <w:left w:val="nil"/>
              <w:bottom w:val="nil"/>
              <w:right w:val="single" w:sz="4" w:space="0" w:color="auto"/>
            </w:tcBorders>
            <w:hideMark/>
          </w:tcPr>
          <w:p w14:paraId="42BD93CA"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Impuestos</w:t>
            </w:r>
          </w:p>
        </w:tc>
        <w:tc>
          <w:tcPr>
            <w:tcW w:w="581" w:type="pct"/>
            <w:tcBorders>
              <w:top w:val="nil"/>
              <w:left w:val="single" w:sz="4" w:space="0" w:color="auto"/>
              <w:bottom w:val="nil"/>
              <w:right w:val="single" w:sz="4" w:space="0" w:color="auto"/>
            </w:tcBorders>
            <w:hideMark/>
          </w:tcPr>
          <w:p w14:paraId="7DDB74F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24,258,736,384</w:t>
            </w:r>
          </w:p>
        </w:tc>
        <w:tc>
          <w:tcPr>
            <w:tcW w:w="581" w:type="pct"/>
            <w:tcBorders>
              <w:top w:val="nil"/>
              <w:left w:val="nil"/>
              <w:bottom w:val="nil"/>
              <w:right w:val="single" w:sz="4" w:space="0" w:color="auto"/>
            </w:tcBorders>
            <w:hideMark/>
          </w:tcPr>
          <w:p w14:paraId="6723E81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25,531,587,862</w:t>
            </w:r>
          </w:p>
        </w:tc>
        <w:tc>
          <w:tcPr>
            <w:tcW w:w="581" w:type="pct"/>
            <w:tcBorders>
              <w:top w:val="nil"/>
              <w:left w:val="nil"/>
              <w:bottom w:val="nil"/>
              <w:right w:val="single" w:sz="4" w:space="0" w:color="auto"/>
            </w:tcBorders>
            <w:hideMark/>
          </w:tcPr>
          <w:p w14:paraId="678CE1C6"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26,928,676,350</w:t>
            </w:r>
          </w:p>
        </w:tc>
        <w:tc>
          <w:tcPr>
            <w:tcW w:w="581" w:type="pct"/>
            <w:tcBorders>
              <w:top w:val="nil"/>
              <w:left w:val="nil"/>
              <w:bottom w:val="nil"/>
              <w:right w:val="single" w:sz="4" w:space="0" w:color="auto"/>
            </w:tcBorders>
            <w:hideMark/>
          </w:tcPr>
          <w:p w14:paraId="22BE541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28,402,213,521</w:t>
            </w:r>
          </w:p>
        </w:tc>
        <w:tc>
          <w:tcPr>
            <w:tcW w:w="581" w:type="pct"/>
            <w:tcBorders>
              <w:top w:val="nil"/>
              <w:left w:val="nil"/>
              <w:bottom w:val="nil"/>
              <w:right w:val="single" w:sz="4" w:space="0" w:color="auto"/>
            </w:tcBorders>
            <w:hideMark/>
          </w:tcPr>
          <w:p w14:paraId="7AAC535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29,956,382,646</w:t>
            </w:r>
          </w:p>
        </w:tc>
        <w:tc>
          <w:tcPr>
            <w:tcW w:w="667" w:type="pct"/>
            <w:tcBorders>
              <w:top w:val="nil"/>
              <w:left w:val="nil"/>
              <w:bottom w:val="nil"/>
              <w:right w:val="single" w:sz="4" w:space="0" w:color="auto"/>
            </w:tcBorders>
            <w:hideMark/>
          </w:tcPr>
          <w:p w14:paraId="4006F74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31,595,595,903</w:t>
            </w:r>
          </w:p>
        </w:tc>
      </w:tr>
      <w:tr w:rsidR="00CB04CD" w:rsidRPr="00E84DBE" w14:paraId="2D94FFDD" w14:textId="77777777" w:rsidTr="00CB04CD">
        <w:trPr>
          <w:trHeight w:val="227"/>
        </w:trPr>
        <w:tc>
          <w:tcPr>
            <w:tcW w:w="207" w:type="pct"/>
            <w:tcBorders>
              <w:top w:val="nil"/>
              <w:left w:val="single" w:sz="4" w:space="0" w:color="auto"/>
              <w:bottom w:val="nil"/>
              <w:right w:val="nil"/>
            </w:tcBorders>
            <w:shd w:val="clear" w:color="auto" w:fill="FFFFFF"/>
            <w:noWrap/>
            <w:hideMark/>
          </w:tcPr>
          <w:p w14:paraId="38C86AC5"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7BB4D0C5"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077" w:type="pct"/>
            <w:tcBorders>
              <w:top w:val="nil"/>
              <w:left w:val="nil"/>
              <w:bottom w:val="nil"/>
              <w:right w:val="single" w:sz="4" w:space="0" w:color="auto"/>
            </w:tcBorders>
            <w:hideMark/>
          </w:tcPr>
          <w:p w14:paraId="62BA0129"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Cuotas y Aportaciones de Seguridad Social</w:t>
            </w:r>
          </w:p>
        </w:tc>
        <w:tc>
          <w:tcPr>
            <w:tcW w:w="581" w:type="pct"/>
            <w:tcBorders>
              <w:top w:val="nil"/>
              <w:left w:val="single" w:sz="4" w:space="0" w:color="auto"/>
              <w:bottom w:val="nil"/>
              <w:right w:val="single" w:sz="4" w:space="0" w:color="auto"/>
            </w:tcBorders>
            <w:hideMark/>
          </w:tcPr>
          <w:p w14:paraId="14CB7BC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35,457,255,096</w:t>
            </w:r>
          </w:p>
        </w:tc>
        <w:tc>
          <w:tcPr>
            <w:tcW w:w="581" w:type="pct"/>
            <w:tcBorders>
              <w:top w:val="nil"/>
              <w:left w:val="nil"/>
              <w:bottom w:val="nil"/>
              <w:right w:val="single" w:sz="4" w:space="0" w:color="auto"/>
            </w:tcBorders>
            <w:hideMark/>
          </w:tcPr>
          <w:p w14:paraId="5D59559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37,397,476,095</w:t>
            </w:r>
          </w:p>
        </w:tc>
        <w:tc>
          <w:tcPr>
            <w:tcW w:w="581" w:type="pct"/>
            <w:tcBorders>
              <w:top w:val="nil"/>
              <w:left w:val="nil"/>
              <w:bottom w:val="nil"/>
              <w:right w:val="single" w:sz="4" w:space="0" w:color="auto"/>
            </w:tcBorders>
            <w:hideMark/>
          </w:tcPr>
          <w:p w14:paraId="473668B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39,443,865,987</w:t>
            </w:r>
          </w:p>
        </w:tc>
        <w:tc>
          <w:tcPr>
            <w:tcW w:w="581" w:type="pct"/>
            <w:tcBorders>
              <w:top w:val="nil"/>
              <w:left w:val="nil"/>
              <w:bottom w:val="nil"/>
              <w:right w:val="single" w:sz="4" w:space="0" w:color="auto"/>
            </w:tcBorders>
            <w:hideMark/>
          </w:tcPr>
          <w:p w14:paraId="0D5AFD0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41,602,234,334</w:t>
            </w:r>
          </w:p>
        </w:tc>
        <w:tc>
          <w:tcPr>
            <w:tcW w:w="581" w:type="pct"/>
            <w:tcBorders>
              <w:top w:val="nil"/>
              <w:left w:val="nil"/>
              <w:bottom w:val="nil"/>
              <w:right w:val="single" w:sz="4" w:space="0" w:color="auto"/>
            </w:tcBorders>
            <w:hideMark/>
          </w:tcPr>
          <w:p w14:paraId="76AAE91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43,878,708,596</w:t>
            </w:r>
          </w:p>
        </w:tc>
        <w:tc>
          <w:tcPr>
            <w:tcW w:w="667" w:type="pct"/>
            <w:tcBorders>
              <w:top w:val="nil"/>
              <w:left w:val="nil"/>
              <w:bottom w:val="nil"/>
              <w:right w:val="single" w:sz="4" w:space="0" w:color="auto"/>
            </w:tcBorders>
            <w:hideMark/>
          </w:tcPr>
          <w:p w14:paraId="15BDCE03"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46,279,751,531</w:t>
            </w:r>
          </w:p>
        </w:tc>
      </w:tr>
      <w:tr w:rsidR="00CB04CD" w:rsidRPr="00E84DBE" w14:paraId="546AB173" w14:textId="77777777" w:rsidTr="00CB04CD">
        <w:trPr>
          <w:trHeight w:val="227"/>
        </w:trPr>
        <w:tc>
          <w:tcPr>
            <w:tcW w:w="207" w:type="pct"/>
            <w:tcBorders>
              <w:top w:val="nil"/>
              <w:left w:val="single" w:sz="4" w:space="0" w:color="auto"/>
              <w:bottom w:val="nil"/>
              <w:right w:val="nil"/>
            </w:tcBorders>
            <w:shd w:val="clear" w:color="auto" w:fill="FFFFFF"/>
            <w:noWrap/>
            <w:hideMark/>
          </w:tcPr>
          <w:p w14:paraId="482892A8"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578F1AE9"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077" w:type="pct"/>
            <w:tcBorders>
              <w:top w:val="nil"/>
              <w:left w:val="nil"/>
              <w:bottom w:val="nil"/>
              <w:right w:val="single" w:sz="4" w:space="0" w:color="auto"/>
            </w:tcBorders>
            <w:hideMark/>
          </w:tcPr>
          <w:p w14:paraId="28083B5B"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Contribuciones de Mejoras</w:t>
            </w:r>
          </w:p>
        </w:tc>
        <w:tc>
          <w:tcPr>
            <w:tcW w:w="581" w:type="pct"/>
            <w:tcBorders>
              <w:top w:val="nil"/>
              <w:left w:val="single" w:sz="4" w:space="0" w:color="auto"/>
              <w:bottom w:val="nil"/>
              <w:right w:val="single" w:sz="4" w:space="0" w:color="auto"/>
            </w:tcBorders>
            <w:hideMark/>
          </w:tcPr>
          <w:p w14:paraId="5ED9DC5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549,841,905</w:t>
            </w:r>
          </w:p>
        </w:tc>
        <w:tc>
          <w:tcPr>
            <w:tcW w:w="581" w:type="pct"/>
            <w:tcBorders>
              <w:top w:val="nil"/>
              <w:left w:val="nil"/>
              <w:bottom w:val="nil"/>
              <w:right w:val="single" w:sz="4" w:space="0" w:color="auto"/>
            </w:tcBorders>
            <w:hideMark/>
          </w:tcPr>
          <w:p w14:paraId="66E5C32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579,385,414</w:t>
            </w:r>
          </w:p>
        </w:tc>
        <w:tc>
          <w:tcPr>
            <w:tcW w:w="581" w:type="pct"/>
            <w:tcBorders>
              <w:top w:val="nil"/>
              <w:left w:val="nil"/>
              <w:bottom w:val="nil"/>
              <w:right w:val="single" w:sz="4" w:space="0" w:color="auto"/>
            </w:tcBorders>
            <w:hideMark/>
          </w:tcPr>
          <w:p w14:paraId="177B893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610,518,352</w:t>
            </w:r>
          </w:p>
        </w:tc>
        <w:tc>
          <w:tcPr>
            <w:tcW w:w="581" w:type="pct"/>
            <w:tcBorders>
              <w:top w:val="nil"/>
              <w:left w:val="nil"/>
              <w:bottom w:val="nil"/>
              <w:right w:val="single" w:sz="4" w:space="0" w:color="auto"/>
            </w:tcBorders>
            <w:hideMark/>
          </w:tcPr>
          <w:p w14:paraId="794B5CE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643,326,332</w:t>
            </w:r>
          </w:p>
        </w:tc>
        <w:tc>
          <w:tcPr>
            <w:tcW w:w="581" w:type="pct"/>
            <w:tcBorders>
              <w:top w:val="nil"/>
              <w:left w:val="nil"/>
              <w:bottom w:val="nil"/>
              <w:right w:val="single" w:sz="4" w:space="0" w:color="auto"/>
            </w:tcBorders>
            <w:hideMark/>
          </w:tcPr>
          <w:p w14:paraId="5B3872B8"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677,899,586</w:t>
            </w:r>
          </w:p>
        </w:tc>
        <w:tc>
          <w:tcPr>
            <w:tcW w:w="667" w:type="pct"/>
            <w:tcBorders>
              <w:top w:val="nil"/>
              <w:left w:val="nil"/>
              <w:bottom w:val="nil"/>
              <w:right w:val="single" w:sz="4" w:space="0" w:color="auto"/>
            </w:tcBorders>
            <w:hideMark/>
          </w:tcPr>
          <w:p w14:paraId="1F95E47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714,333,212</w:t>
            </w:r>
          </w:p>
        </w:tc>
      </w:tr>
      <w:tr w:rsidR="00CB04CD" w:rsidRPr="00E84DBE" w14:paraId="12BC893A" w14:textId="77777777" w:rsidTr="00CB04CD">
        <w:trPr>
          <w:trHeight w:val="227"/>
        </w:trPr>
        <w:tc>
          <w:tcPr>
            <w:tcW w:w="207" w:type="pct"/>
            <w:tcBorders>
              <w:top w:val="nil"/>
              <w:left w:val="single" w:sz="4" w:space="0" w:color="auto"/>
              <w:bottom w:val="nil"/>
              <w:right w:val="nil"/>
            </w:tcBorders>
            <w:shd w:val="clear" w:color="auto" w:fill="FFFFFF"/>
            <w:noWrap/>
            <w:hideMark/>
          </w:tcPr>
          <w:p w14:paraId="1C266B29"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08E9CA55"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077" w:type="pct"/>
            <w:tcBorders>
              <w:top w:val="nil"/>
              <w:left w:val="nil"/>
              <w:bottom w:val="nil"/>
              <w:right w:val="single" w:sz="4" w:space="0" w:color="auto"/>
            </w:tcBorders>
            <w:hideMark/>
          </w:tcPr>
          <w:p w14:paraId="0C03C878"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Derechos</w:t>
            </w:r>
          </w:p>
        </w:tc>
        <w:tc>
          <w:tcPr>
            <w:tcW w:w="581" w:type="pct"/>
            <w:tcBorders>
              <w:top w:val="nil"/>
              <w:left w:val="single" w:sz="4" w:space="0" w:color="auto"/>
              <w:bottom w:val="nil"/>
              <w:right w:val="single" w:sz="4" w:space="0" w:color="auto"/>
            </w:tcBorders>
            <w:hideMark/>
          </w:tcPr>
          <w:p w14:paraId="082E4FC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13,411,528,755</w:t>
            </w:r>
          </w:p>
        </w:tc>
        <w:tc>
          <w:tcPr>
            <w:tcW w:w="581" w:type="pct"/>
            <w:tcBorders>
              <w:top w:val="nil"/>
              <w:left w:val="nil"/>
              <w:bottom w:val="nil"/>
              <w:right w:val="single" w:sz="4" w:space="0" w:color="auto"/>
            </w:tcBorders>
            <w:hideMark/>
          </w:tcPr>
          <w:p w14:paraId="73B84BC1"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14,350,840,481</w:t>
            </w:r>
          </w:p>
        </w:tc>
        <w:tc>
          <w:tcPr>
            <w:tcW w:w="581" w:type="pct"/>
            <w:tcBorders>
              <w:top w:val="nil"/>
              <w:left w:val="nil"/>
              <w:bottom w:val="nil"/>
              <w:right w:val="single" w:sz="4" w:space="0" w:color="auto"/>
            </w:tcBorders>
            <w:hideMark/>
          </w:tcPr>
          <w:p w14:paraId="003F149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15,211,890,907</w:t>
            </w:r>
          </w:p>
        </w:tc>
        <w:tc>
          <w:tcPr>
            <w:tcW w:w="581" w:type="pct"/>
            <w:tcBorders>
              <w:top w:val="nil"/>
              <w:left w:val="nil"/>
              <w:bottom w:val="nil"/>
              <w:right w:val="single" w:sz="4" w:space="0" w:color="auto"/>
            </w:tcBorders>
            <w:hideMark/>
          </w:tcPr>
          <w:p w14:paraId="0F069B4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16,124,604,358</w:t>
            </w:r>
          </w:p>
        </w:tc>
        <w:tc>
          <w:tcPr>
            <w:tcW w:w="581" w:type="pct"/>
            <w:tcBorders>
              <w:top w:val="nil"/>
              <w:left w:val="nil"/>
              <w:bottom w:val="nil"/>
              <w:right w:val="single" w:sz="4" w:space="0" w:color="auto"/>
            </w:tcBorders>
            <w:hideMark/>
          </w:tcPr>
          <w:p w14:paraId="0B80079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17,092,080,625</w:t>
            </w:r>
          </w:p>
        </w:tc>
        <w:tc>
          <w:tcPr>
            <w:tcW w:w="667" w:type="pct"/>
            <w:tcBorders>
              <w:top w:val="nil"/>
              <w:left w:val="nil"/>
              <w:bottom w:val="nil"/>
              <w:right w:val="single" w:sz="4" w:space="0" w:color="auto"/>
            </w:tcBorders>
            <w:hideMark/>
          </w:tcPr>
          <w:p w14:paraId="49B07D1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18,117,605,462</w:t>
            </w:r>
          </w:p>
        </w:tc>
      </w:tr>
      <w:tr w:rsidR="00CB04CD" w:rsidRPr="00E84DBE" w14:paraId="15E7A469" w14:textId="77777777" w:rsidTr="00CB04CD">
        <w:trPr>
          <w:trHeight w:val="227"/>
        </w:trPr>
        <w:tc>
          <w:tcPr>
            <w:tcW w:w="207" w:type="pct"/>
            <w:tcBorders>
              <w:top w:val="nil"/>
              <w:left w:val="single" w:sz="4" w:space="0" w:color="auto"/>
              <w:bottom w:val="nil"/>
              <w:right w:val="nil"/>
            </w:tcBorders>
            <w:shd w:val="clear" w:color="auto" w:fill="FFFFFF"/>
            <w:noWrap/>
            <w:hideMark/>
          </w:tcPr>
          <w:p w14:paraId="65E92AE5"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3D1F6F3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077" w:type="pct"/>
            <w:tcBorders>
              <w:top w:val="nil"/>
              <w:left w:val="nil"/>
              <w:bottom w:val="nil"/>
              <w:right w:val="single" w:sz="4" w:space="0" w:color="auto"/>
            </w:tcBorders>
            <w:hideMark/>
          </w:tcPr>
          <w:p w14:paraId="79F9F9D3"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Productos</w:t>
            </w:r>
          </w:p>
        </w:tc>
        <w:tc>
          <w:tcPr>
            <w:tcW w:w="581" w:type="pct"/>
            <w:tcBorders>
              <w:top w:val="nil"/>
              <w:left w:val="single" w:sz="4" w:space="0" w:color="auto"/>
              <w:bottom w:val="nil"/>
              <w:right w:val="single" w:sz="4" w:space="0" w:color="auto"/>
            </w:tcBorders>
            <w:hideMark/>
          </w:tcPr>
          <w:p w14:paraId="05F20EFD"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412,076,894</w:t>
            </w:r>
          </w:p>
        </w:tc>
        <w:tc>
          <w:tcPr>
            <w:tcW w:w="581" w:type="pct"/>
            <w:tcBorders>
              <w:top w:val="nil"/>
              <w:left w:val="nil"/>
              <w:bottom w:val="nil"/>
              <w:right w:val="single" w:sz="4" w:space="0" w:color="auto"/>
            </w:tcBorders>
            <w:hideMark/>
          </w:tcPr>
          <w:p w14:paraId="3235B2C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423,580,345</w:t>
            </w:r>
          </w:p>
        </w:tc>
        <w:tc>
          <w:tcPr>
            <w:tcW w:w="581" w:type="pct"/>
            <w:tcBorders>
              <w:top w:val="nil"/>
              <w:left w:val="nil"/>
              <w:bottom w:val="nil"/>
              <w:right w:val="single" w:sz="4" w:space="0" w:color="auto"/>
            </w:tcBorders>
            <w:hideMark/>
          </w:tcPr>
          <w:p w14:paraId="5118AFA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436,642,691</w:t>
            </w:r>
          </w:p>
        </w:tc>
        <w:tc>
          <w:tcPr>
            <w:tcW w:w="581" w:type="pct"/>
            <w:tcBorders>
              <w:top w:val="nil"/>
              <w:left w:val="nil"/>
              <w:bottom w:val="nil"/>
              <w:right w:val="single" w:sz="4" w:space="0" w:color="auto"/>
            </w:tcBorders>
            <w:hideMark/>
          </w:tcPr>
          <w:p w14:paraId="3B182D7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448,851,850</w:t>
            </w:r>
          </w:p>
        </w:tc>
        <w:tc>
          <w:tcPr>
            <w:tcW w:w="581" w:type="pct"/>
            <w:tcBorders>
              <w:top w:val="nil"/>
              <w:left w:val="nil"/>
              <w:bottom w:val="nil"/>
              <w:right w:val="single" w:sz="4" w:space="0" w:color="auto"/>
            </w:tcBorders>
            <w:hideMark/>
          </w:tcPr>
          <w:p w14:paraId="299592E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460,547,876</w:t>
            </w:r>
          </w:p>
        </w:tc>
        <w:tc>
          <w:tcPr>
            <w:tcW w:w="667" w:type="pct"/>
            <w:tcBorders>
              <w:top w:val="nil"/>
              <w:left w:val="nil"/>
              <w:bottom w:val="nil"/>
              <w:right w:val="single" w:sz="4" w:space="0" w:color="auto"/>
            </w:tcBorders>
            <w:hideMark/>
          </w:tcPr>
          <w:p w14:paraId="6A31DC91"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472,562,281</w:t>
            </w:r>
          </w:p>
        </w:tc>
      </w:tr>
      <w:tr w:rsidR="00CB04CD" w:rsidRPr="00E84DBE" w14:paraId="1B0D96AA" w14:textId="77777777" w:rsidTr="00CB04CD">
        <w:trPr>
          <w:trHeight w:val="227"/>
        </w:trPr>
        <w:tc>
          <w:tcPr>
            <w:tcW w:w="207" w:type="pct"/>
            <w:tcBorders>
              <w:top w:val="nil"/>
              <w:left w:val="single" w:sz="4" w:space="0" w:color="auto"/>
              <w:bottom w:val="nil"/>
              <w:right w:val="nil"/>
            </w:tcBorders>
            <w:shd w:val="clear" w:color="auto" w:fill="FFFFFF"/>
            <w:noWrap/>
            <w:hideMark/>
          </w:tcPr>
          <w:p w14:paraId="729AFBA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3EB60A2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F.</w:t>
            </w:r>
          </w:p>
        </w:tc>
        <w:tc>
          <w:tcPr>
            <w:tcW w:w="1077" w:type="pct"/>
            <w:tcBorders>
              <w:top w:val="nil"/>
              <w:left w:val="nil"/>
              <w:bottom w:val="nil"/>
              <w:right w:val="single" w:sz="4" w:space="0" w:color="auto"/>
            </w:tcBorders>
            <w:hideMark/>
          </w:tcPr>
          <w:p w14:paraId="68AFEF4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Aprovechamientos</w:t>
            </w:r>
          </w:p>
        </w:tc>
        <w:tc>
          <w:tcPr>
            <w:tcW w:w="581" w:type="pct"/>
            <w:tcBorders>
              <w:top w:val="nil"/>
              <w:left w:val="single" w:sz="4" w:space="0" w:color="auto"/>
              <w:bottom w:val="nil"/>
              <w:right w:val="single" w:sz="4" w:space="0" w:color="auto"/>
            </w:tcBorders>
            <w:hideMark/>
          </w:tcPr>
          <w:p w14:paraId="407C5036"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2,392,843,217</w:t>
            </w:r>
          </w:p>
        </w:tc>
        <w:tc>
          <w:tcPr>
            <w:tcW w:w="581" w:type="pct"/>
            <w:tcBorders>
              <w:top w:val="nil"/>
              <w:left w:val="nil"/>
              <w:bottom w:val="nil"/>
              <w:right w:val="single" w:sz="4" w:space="0" w:color="auto"/>
            </w:tcBorders>
            <w:hideMark/>
          </w:tcPr>
          <w:p w14:paraId="7C1E0F6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2,319,508,197</w:t>
            </w:r>
          </w:p>
        </w:tc>
        <w:tc>
          <w:tcPr>
            <w:tcW w:w="581" w:type="pct"/>
            <w:tcBorders>
              <w:top w:val="nil"/>
              <w:left w:val="nil"/>
              <w:bottom w:val="nil"/>
              <w:right w:val="single" w:sz="4" w:space="0" w:color="auto"/>
            </w:tcBorders>
            <w:hideMark/>
          </w:tcPr>
          <w:p w14:paraId="28415F1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2,409,850,000</w:t>
            </w:r>
          </w:p>
        </w:tc>
        <w:tc>
          <w:tcPr>
            <w:tcW w:w="581" w:type="pct"/>
            <w:tcBorders>
              <w:top w:val="nil"/>
              <w:left w:val="nil"/>
              <w:bottom w:val="nil"/>
              <w:right w:val="single" w:sz="4" w:space="0" w:color="auto"/>
            </w:tcBorders>
            <w:hideMark/>
          </w:tcPr>
          <w:p w14:paraId="6EEB0266"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2,504,037,858</w:t>
            </w:r>
          </w:p>
        </w:tc>
        <w:tc>
          <w:tcPr>
            <w:tcW w:w="581" w:type="pct"/>
            <w:tcBorders>
              <w:top w:val="nil"/>
              <w:left w:val="nil"/>
              <w:bottom w:val="nil"/>
              <w:right w:val="single" w:sz="4" w:space="0" w:color="auto"/>
            </w:tcBorders>
            <w:hideMark/>
          </w:tcPr>
          <w:p w14:paraId="48C7F09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2,602,249,298</w:t>
            </w:r>
          </w:p>
        </w:tc>
        <w:tc>
          <w:tcPr>
            <w:tcW w:w="667" w:type="pct"/>
            <w:tcBorders>
              <w:top w:val="nil"/>
              <w:left w:val="nil"/>
              <w:bottom w:val="nil"/>
              <w:right w:val="single" w:sz="4" w:space="0" w:color="auto"/>
            </w:tcBorders>
            <w:hideMark/>
          </w:tcPr>
          <w:p w14:paraId="39660D0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2,704,670,579</w:t>
            </w:r>
          </w:p>
        </w:tc>
      </w:tr>
      <w:tr w:rsidR="00CB04CD" w:rsidRPr="00E84DBE" w14:paraId="0E1A2CB5" w14:textId="77777777" w:rsidTr="00CB04CD">
        <w:trPr>
          <w:trHeight w:val="227"/>
        </w:trPr>
        <w:tc>
          <w:tcPr>
            <w:tcW w:w="207" w:type="pct"/>
            <w:tcBorders>
              <w:top w:val="nil"/>
              <w:left w:val="single" w:sz="4" w:space="0" w:color="auto"/>
              <w:bottom w:val="nil"/>
              <w:right w:val="nil"/>
            </w:tcBorders>
            <w:shd w:val="clear" w:color="auto" w:fill="FFFFFF"/>
            <w:noWrap/>
            <w:hideMark/>
          </w:tcPr>
          <w:p w14:paraId="7359AD2E"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5255AB1B"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G.</w:t>
            </w:r>
          </w:p>
        </w:tc>
        <w:tc>
          <w:tcPr>
            <w:tcW w:w="1077" w:type="pct"/>
            <w:tcBorders>
              <w:top w:val="nil"/>
              <w:left w:val="nil"/>
              <w:bottom w:val="nil"/>
              <w:right w:val="single" w:sz="4" w:space="0" w:color="auto"/>
            </w:tcBorders>
            <w:hideMark/>
          </w:tcPr>
          <w:p w14:paraId="3B920C2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Ingresos por Ventas de Bienes y Prestación de Servicios</w:t>
            </w:r>
          </w:p>
        </w:tc>
        <w:tc>
          <w:tcPr>
            <w:tcW w:w="581" w:type="pct"/>
            <w:tcBorders>
              <w:top w:val="nil"/>
              <w:left w:val="single" w:sz="4" w:space="0" w:color="auto"/>
              <w:bottom w:val="nil"/>
              <w:right w:val="single" w:sz="4" w:space="0" w:color="auto"/>
            </w:tcBorders>
            <w:vAlign w:val="center"/>
            <w:hideMark/>
          </w:tcPr>
          <w:p w14:paraId="6CE8990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5,700,380,366</w:t>
            </w:r>
          </w:p>
        </w:tc>
        <w:tc>
          <w:tcPr>
            <w:tcW w:w="581" w:type="pct"/>
            <w:tcBorders>
              <w:top w:val="nil"/>
              <w:left w:val="nil"/>
              <w:bottom w:val="nil"/>
              <w:right w:val="single" w:sz="4" w:space="0" w:color="auto"/>
            </w:tcBorders>
            <w:vAlign w:val="center"/>
            <w:hideMark/>
          </w:tcPr>
          <w:p w14:paraId="32441E47"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6,012,305,178</w:t>
            </w:r>
          </w:p>
        </w:tc>
        <w:tc>
          <w:tcPr>
            <w:tcW w:w="581" w:type="pct"/>
            <w:tcBorders>
              <w:top w:val="nil"/>
              <w:left w:val="nil"/>
              <w:bottom w:val="nil"/>
              <w:right w:val="single" w:sz="4" w:space="0" w:color="auto"/>
            </w:tcBorders>
            <w:vAlign w:val="center"/>
            <w:hideMark/>
          </w:tcPr>
          <w:p w14:paraId="7A4A5731"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6,341,298,519</w:t>
            </w:r>
          </w:p>
        </w:tc>
        <w:tc>
          <w:tcPr>
            <w:tcW w:w="581" w:type="pct"/>
            <w:tcBorders>
              <w:top w:val="nil"/>
              <w:left w:val="nil"/>
              <w:bottom w:val="nil"/>
              <w:right w:val="single" w:sz="4" w:space="0" w:color="auto"/>
            </w:tcBorders>
            <w:vAlign w:val="center"/>
            <w:hideMark/>
          </w:tcPr>
          <w:p w14:paraId="10FFE4F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6,688,294,377</w:t>
            </w:r>
          </w:p>
        </w:tc>
        <w:tc>
          <w:tcPr>
            <w:tcW w:w="581" w:type="pct"/>
            <w:tcBorders>
              <w:top w:val="nil"/>
              <w:left w:val="nil"/>
              <w:bottom w:val="nil"/>
              <w:right w:val="single" w:sz="4" w:space="0" w:color="auto"/>
            </w:tcBorders>
            <w:vAlign w:val="center"/>
            <w:hideMark/>
          </w:tcPr>
          <w:p w14:paraId="4400B738"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7,054,277,839</w:t>
            </w:r>
          </w:p>
        </w:tc>
        <w:tc>
          <w:tcPr>
            <w:tcW w:w="667" w:type="pct"/>
            <w:tcBorders>
              <w:top w:val="nil"/>
              <w:left w:val="nil"/>
              <w:bottom w:val="nil"/>
              <w:right w:val="single" w:sz="4" w:space="0" w:color="auto"/>
            </w:tcBorders>
            <w:vAlign w:val="center"/>
            <w:hideMark/>
          </w:tcPr>
          <w:p w14:paraId="6A81BC1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7,440,287,927</w:t>
            </w:r>
          </w:p>
        </w:tc>
      </w:tr>
      <w:tr w:rsidR="00CB04CD" w:rsidRPr="00E84DBE" w14:paraId="543B8A7F" w14:textId="77777777" w:rsidTr="00CB04CD">
        <w:trPr>
          <w:trHeight w:val="227"/>
        </w:trPr>
        <w:tc>
          <w:tcPr>
            <w:tcW w:w="207" w:type="pct"/>
            <w:tcBorders>
              <w:top w:val="nil"/>
              <w:left w:val="single" w:sz="4" w:space="0" w:color="auto"/>
              <w:bottom w:val="nil"/>
              <w:right w:val="nil"/>
            </w:tcBorders>
            <w:shd w:val="clear" w:color="auto" w:fill="FFFFFF"/>
            <w:noWrap/>
            <w:hideMark/>
          </w:tcPr>
          <w:p w14:paraId="1D31C78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9BFC96E"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H.</w:t>
            </w:r>
          </w:p>
        </w:tc>
        <w:tc>
          <w:tcPr>
            <w:tcW w:w="1077" w:type="pct"/>
            <w:tcBorders>
              <w:top w:val="nil"/>
              <w:left w:val="nil"/>
              <w:bottom w:val="nil"/>
              <w:right w:val="single" w:sz="4" w:space="0" w:color="auto"/>
            </w:tcBorders>
            <w:hideMark/>
          </w:tcPr>
          <w:p w14:paraId="6D9F3675"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Participaciones</w:t>
            </w:r>
          </w:p>
        </w:tc>
        <w:tc>
          <w:tcPr>
            <w:tcW w:w="581" w:type="pct"/>
            <w:tcBorders>
              <w:top w:val="nil"/>
              <w:left w:val="single" w:sz="4" w:space="0" w:color="auto"/>
              <w:bottom w:val="nil"/>
              <w:right w:val="single" w:sz="4" w:space="0" w:color="auto"/>
            </w:tcBorders>
            <w:hideMark/>
          </w:tcPr>
          <w:p w14:paraId="0FF91AD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144,435,639,022</w:t>
            </w:r>
          </w:p>
        </w:tc>
        <w:tc>
          <w:tcPr>
            <w:tcW w:w="581" w:type="pct"/>
            <w:tcBorders>
              <w:top w:val="nil"/>
              <w:left w:val="nil"/>
              <w:bottom w:val="nil"/>
              <w:right w:val="single" w:sz="4" w:space="0" w:color="auto"/>
            </w:tcBorders>
            <w:hideMark/>
          </w:tcPr>
          <w:p w14:paraId="628893E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152,550,222,975</w:t>
            </w:r>
          </w:p>
        </w:tc>
        <w:tc>
          <w:tcPr>
            <w:tcW w:w="581" w:type="pct"/>
            <w:tcBorders>
              <w:top w:val="nil"/>
              <w:left w:val="nil"/>
              <w:bottom w:val="nil"/>
              <w:right w:val="single" w:sz="4" w:space="0" w:color="auto"/>
            </w:tcBorders>
            <w:hideMark/>
          </w:tcPr>
          <w:p w14:paraId="2CA01722"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160,815,316,004</w:t>
            </w:r>
          </w:p>
        </w:tc>
        <w:tc>
          <w:tcPr>
            <w:tcW w:w="581" w:type="pct"/>
            <w:tcBorders>
              <w:top w:val="nil"/>
              <w:left w:val="nil"/>
              <w:bottom w:val="nil"/>
              <w:right w:val="single" w:sz="4" w:space="0" w:color="auto"/>
            </w:tcBorders>
            <w:hideMark/>
          </w:tcPr>
          <w:p w14:paraId="14A44EF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170,198,673,398</w:t>
            </w:r>
          </w:p>
        </w:tc>
        <w:tc>
          <w:tcPr>
            <w:tcW w:w="581" w:type="pct"/>
            <w:tcBorders>
              <w:top w:val="nil"/>
              <w:left w:val="nil"/>
              <w:bottom w:val="nil"/>
              <w:right w:val="single" w:sz="4" w:space="0" w:color="auto"/>
            </w:tcBorders>
            <w:hideMark/>
          </w:tcPr>
          <w:p w14:paraId="7E771F5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179,733,044,538</w:t>
            </w:r>
          </w:p>
        </w:tc>
        <w:tc>
          <w:tcPr>
            <w:tcW w:w="667" w:type="pct"/>
            <w:tcBorders>
              <w:top w:val="nil"/>
              <w:left w:val="nil"/>
              <w:bottom w:val="nil"/>
              <w:right w:val="single" w:sz="4" w:space="0" w:color="auto"/>
            </w:tcBorders>
            <w:hideMark/>
          </w:tcPr>
          <w:p w14:paraId="3AFB42B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189,974,790,810</w:t>
            </w:r>
          </w:p>
        </w:tc>
      </w:tr>
      <w:tr w:rsidR="00CB04CD" w:rsidRPr="00E84DBE" w14:paraId="0E40B68E" w14:textId="77777777" w:rsidTr="00CB04CD">
        <w:trPr>
          <w:trHeight w:val="227"/>
        </w:trPr>
        <w:tc>
          <w:tcPr>
            <w:tcW w:w="207" w:type="pct"/>
            <w:tcBorders>
              <w:top w:val="nil"/>
              <w:left w:val="single" w:sz="4" w:space="0" w:color="auto"/>
              <w:bottom w:val="nil"/>
              <w:right w:val="nil"/>
            </w:tcBorders>
            <w:shd w:val="clear" w:color="auto" w:fill="FFFFFF"/>
            <w:noWrap/>
            <w:hideMark/>
          </w:tcPr>
          <w:p w14:paraId="0B3D1B6F"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2521703"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I.</w:t>
            </w:r>
          </w:p>
        </w:tc>
        <w:tc>
          <w:tcPr>
            <w:tcW w:w="1077" w:type="pct"/>
            <w:tcBorders>
              <w:top w:val="nil"/>
              <w:left w:val="nil"/>
              <w:bottom w:val="nil"/>
              <w:right w:val="single" w:sz="4" w:space="0" w:color="auto"/>
            </w:tcBorders>
            <w:hideMark/>
          </w:tcPr>
          <w:p w14:paraId="6249B5F0"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Incentivos Derivados de la Colaboración Fiscal</w:t>
            </w:r>
          </w:p>
        </w:tc>
        <w:tc>
          <w:tcPr>
            <w:tcW w:w="581" w:type="pct"/>
            <w:tcBorders>
              <w:top w:val="nil"/>
              <w:left w:val="single" w:sz="4" w:space="0" w:color="auto"/>
              <w:bottom w:val="nil"/>
              <w:right w:val="single" w:sz="4" w:space="0" w:color="auto"/>
            </w:tcBorders>
            <w:vAlign w:val="center"/>
            <w:hideMark/>
          </w:tcPr>
          <w:p w14:paraId="40D5AEF3"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7,052,274,167</w:t>
            </w:r>
          </w:p>
        </w:tc>
        <w:tc>
          <w:tcPr>
            <w:tcW w:w="581" w:type="pct"/>
            <w:tcBorders>
              <w:top w:val="nil"/>
              <w:left w:val="nil"/>
              <w:bottom w:val="nil"/>
              <w:right w:val="single" w:sz="4" w:space="0" w:color="auto"/>
            </w:tcBorders>
            <w:vAlign w:val="center"/>
            <w:hideMark/>
          </w:tcPr>
          <w:p w14:paraId="60A5764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7,399,776,204</w:t>
            </w:r>
          </w:p>
        </w:tc>
        <w:tc>
          <w:tcPr>
            <w:tcW w:w="581" w:type="pct"/>
            <w:tcBorders>
              <w:top w:val="nil"/>
              <w:left w:val="nil"/>
              <w:bottom w:val="nil"/>
              <w:right w:val="single" w:sz="4" w:space="0" w:color="auto"/>
            </w:tcBorders>
            <w:vAlign w:val="center"/>
            <w:hideMark/>
          </w:tcPr>
          <w:p w14:paraId="46B8092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7,758,442,929</w:t>
            </w:r>
          </w:p>
        </w:tc>
        <w:tc>
          <w:tcPr>
            <w:tcW w:w="581" w:type="pct"/>
            <w:tcBorders>
              <w:top w:val="nil"/>
              <w:left w:val="nil"/>
              <w:bottom w:val="nil"/>
              <w:right w:val="single" w:sz="4" w:space="0" w:color="auto"/>
            </w:tcBorders>
            <w:vAlign w:val="center"/>
            <w:hideMark/>
          </w:tcPr>
          <w:p w14:paraId="1D447C02"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8,136,154,103</w:t>
            </w:r>
          </w:p>
        </w:tc>
        <w:tc>
          <w:tcPr>
            <w:tcW w:w="581" w:type="pct"/>
            <w:tcBorders>
              <w:top w:val="nil"/>
              <w:left w:val="nil"/>
              <w:bottom w:val="nil"/>
              <w:right w:val="single" w:sz="4" w:space="0" w:color="auto"/>
            </w:tcBorders>
            <w:vAlign w:val="center"/>
            <w:hideMark/>
          </w:tcPr>
          <w:p w14:paraId="675613D8"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8,532,837,774</w:t>
            </w:r>
          </w:p>
        </w:tc>
        <w:tc>
          <w:tcPr>
            <w:tcW w:w="667" w:type="pct"/>
            <w:tcBorders>
              <w:top w:val="nil"/>
              <w:left w:val="nil"/>
              <w:bottom w:val="nil"/>
              <w:right w:val="single" w:sz="4" w:space="0" w:color="auto"/>
            </w:tcBorders>
            <w:vAlign w:val="center"/>
            <w:hideMark/>
          </w:tcPr>
          <w:p w14:paraId="6C442B5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8,950,472,906</w:t>
            </w:r>
          </w:p>
        </w:tc>
      </w:tr>
      <w:tr w:rsidR="00CB04CD" w:rsidRPr="00E84DBE" w14:paraId="3057A593" w14:textId="77777777" w:rsidTr="00CB04CD">
        <w:trPr>
          <w:trHeight w:val="227"/>
        </w:trPr>
        <w:tc>
          <w:tcPr>
            <w:tcW w:w="207" w:type="pct"/>
            <w:tcBorders>
              <w:top w:val="nil"/>
              <w:left w:val="single" w:sz="4" w:space="0" w:color="auto"/>
              <w:bottom w:val="nil"/>
              <w:right w:val="nil"/>
            </w:tcBorders>
            <w:shd w:val="clear" w:color="auto" w:fill="FFFFFF"/>
            <w:noWrap/>
            <w:hideMark/>
          </w:tcPr>
          <w:p w14:paraId="63A80D5F"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115E0A9"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J.</w:t>
            </w:r>
          </w:p>
        </w:tc>
        <w:tc>
          <w:tcPr>
            <w:tcW w:w="1077" w:type="pct"/>
            <w:tcBorders>
              <w:top w:val="nil"/>
              <w:left w:val="nil"/>
              <w:bottom w:val="nil"/>
              <w:right w:val="single" w:sz="4" w:space="0" w:color="auto"/>
            </w:tcBorders>
            <w:hideMark/>
          </w:tcPr>
          <w:p w14:paraId="7F58837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Transferencias y Asignaciones</w:t>
            </w:r>
          </w:p>
        </w:tc>
        <w:tc>
          <w:tcPr>
            <w:tcW w:w="581" w:type="pct"/>
            <w:tcBorders>
              <w:top w:val="nil"/>
              <w:left w:val="single" w:sz="4" w:space="0" w:color="auto"/>
              <w:bottom w:val="nil"/>
              <w:right w:val="single" w:sz="4" w:space="0" w:color="auto"/>
            </w:tcBorders>
            <w:hideMark/>
          </w:tcPr>
          <w:p w14:paraId="01B9594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3EA2F733"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CF2236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404579B7"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445B4403"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7C4CFB75"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09B543A4" w14:textId="77777777" w:rsidTr="00CB04CD">
        <w:trPr>
          <w:trHeight w:val="227"/>
        </w:trPr>
        <w:tc>
          <w:tcPr>
            <w:tcW w:w="207" w:type="pct"/>
            <w:tcBorders>
              <w:top w:val="nil"/>
              <w:left w:val="single" w:sz="4" w:space="0" w:color="auto"/>
              <w:bottom w:val="nil"/>
              <w:right w:val="nil"/>
            </w:tcBorders>
            <w:shd w:val="clear" w:color="auto" w:fill="FFFFFF"/>
            <w:noWrap/>
            <w:hideMark/>
          </w:tcPr>
          <w:p w14:paraId="2D77CBC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67D23151"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K.</w:t>
            </w:r>
          </w:p>
        </w:tc>
        <w:tc>
          <w:tcPr>
            <w:tcW w:w="1077" w:type="pct"/>
            <w:tcBorders>
              <w:top w:val="nil"/>
              <w:left w:val="nil"/>
              <w:bottom w:val="nil"/>
              <w:right w:val="single" w:sz="4" w:space="0" w:color="auto"/>
            </w:tcBorders>
            <w:hideMark/>
          </w:tcPr>
          <w:p w14:paraId="05BAD2F6"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581" w:type="pct"/>
            <w:tcBorders>
              <w:top w:val="nil"/>
              <w:left w:val="single" w:sz="4" w:space="0" w:color="auto"/>
              <w:bottom w:val="nil"/>
              <w:right w:val="single" w:sz="4" w:space="0" w:color="auto"/>
            </w:tcBorders>
            <w:hideMark/>
          </w:tcPr>
          <w:p w14:paraId="6B3BD55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71758B9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4578A686"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409942F6"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52AAC0D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7BB5D4E5"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575002C9" w14:textId="77777777" w:rsidTr="00CB04CD">
        <w:trPr>
          <w:trHeight w:val="227"/>
        </w:trPr>
        <w:tc>
          <w:tcPr>
            <w:tcW w:w="207" w:type="pct"/>
            <w:tcBorders>
              <w:top w:val="nil"/>
              <w:left w:val="single" w:sz="4" w:space="0" w:color="auto"/>
              <w:bottom w:val="nil"/>
              <w:right w:val="nil"/>
            </w:tcBorders>
            <w:shd w:val="clear" w:color="auto" w:fill="FFFFFF"/>
            <w:noWrap/>
            <w:hideMark/>
          </w:tcPr>
          <w:p w14:paraId="09F0942B"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6D70E1D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L.</w:t>
            </w:r>
          </w:p>
        </w:tc>
        <w:tc>
          <w:tcPr>
            <w:tcW w:w="1077" w:type="pct"/>
            <w:tcBorders>
              <w:top w:val="nil"/>
              <w:left w:val="nil"/>
              <w:bottom w:val="nil"/>
              <w:right w:val="single" w:sz="4" w:space="0" w:color="auto"/>
            </w:tcBorders>
            <w:hideMark/>
          </w:tcPr>
          <w:p w14:paraId="1E94624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Otros Ingresos de Libre Disposición</w:t>
            </w:r>
          </w:p>
        </w:tc>
        <w:tc>
          <w:tcPr>
            <w:tcW w:w="581" w:type="pct"/>
            <w:tcBorders>
              <w:top w:val="nil"/>
              <w:left w:val="single" w:sz="4" w:space="0" w:color="auto"/>
              <w:bottom w:val="nil"/>
              <w:right w:val="single" w:sz="4" w:space="0" w:color="auto"/>
            </w:tcBorders>
            <w:hideMark/>
          </w:tcPr>
          <w:p w14:paraId="3D8BE72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3B30CD4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5A407A3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769D136D"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2FF241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1117C0E6"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586EB604" w14:textId="77777777" w:rsidTr="00CB04CD">
        <w:trPr>
          <w:trHeight w:val="227"/>
        </w:trPr>
        <w:tc>
          <w:tcPr>
            <w:tcW w:w="207" w:type="pct"/>
            <w:tcBorders>
              <w:top w:val="nil"/>
              <w:left w:val="single" w:sz="4" w:space="0" w:color="auto"/>
              <w:bottom w:val="nil"/>
              <w:right w:val="nil"/>
            </w:tcBorders>
            <w:shd w:val="clear" w:color="auto" w:fill="FFFFFF"/>
            <w:noWrap/>
            <w:hideMark/>
          </w:tcPr>
          <w:p w14:paraId="3387B196"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77B495CA" w14:textId="77777777" w:rsidR="00CB04CD" w:rsidRPr="00E84DBE" w:rsidRDefault="00CB04CD" w:rsidP="00C34029">
            <w:pPr>
              <w:rPr>
                <w:rFonts w:eastAsia="Times New Roman" w:cs="Arial"/>
                <w:sz w:val="14"/>
                <w:szCs w:val="14"/>
                <w:lang w:eastAsia="es-MX"/>
              </w:rPr>
            </w:pPr>
          </w:p>
        </w:tc>
        <w:tc>
          <w:tcPr>
            <w:tcW w:w="1077" w:type="pct"/>
            <w:tcBorders>
              <w:top w:val="nil"/>
              <w:left w:val="nil"/>
              <w:bottom w:val="nil"/>
              <w:right w:val="single" w:sz="4" w:space="0" w:color="auto"/>
            </w:tcBorders>
            <w:hideMark/>
          </w:tcPr>
          <w:p w14:paraId="65E35F77"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single" w:sz="4" w:space="0" w:color="auto"/>
              <w:bottom w:val="nil"/>
              <w:right w:val="single" w:sz="4" w:space="0" w:color="auto"/>
            </w:tcBorders>
            <w:hideMark/>
          </w:tcPr>
          <w:p w14:paraId="5ED24673"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43E58B09"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5813A94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05517D1C"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223941C3"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67" w:type="pct"/>
            <w:tcBorders>
              <w:top w:val="nil"/>
              <w:left w:val="nil"/>
              <w:bottom w:val="nil"/>
              <w:right w:val="single" w:sz="4" w:space="0" w:color="auto"/>
            </w:tcBorders>
            <w:hideMark/>
          </w:tcPr>
          <w:p w14:paraId="099C9E39"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0C3D80C7" w14:textId="77777777" w:rsidTr="00CB04CD">
        <w:trPr>
          <w:trHeight w:val="227"/>
        </w:trPr>
        <w:tc>
          <w:tcPr>
            <w:tcW w:w="207" w:type="pct"/>
            <w:tcBorders>
              <w:top w:val="nil"/>
              <w:left w:val="single" w:sz="4" w:space="0" w:color="auto"/>
              <w:bottom w:val="nil"/>
              <w:right w:val="nil"/>
            </w:tcBorders>
            <w:shd w:val="clear" w:color="auto" w:fill="FFFFFF"/>
            <w:noWrap/>
            <w:hideMark/>
          </w:tcPr>
          <w:p w14:paraId="2A4991F8"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2.</w:t>
            </w:r>
          </w:p>
        </w:tc>
        <w:tc>
          <w:tcPr>
            <w:tcW w:w="1223" w:type="pct"/>
            <w:gridSpan w:val="2"/>
            <w:tcBorders>
              <w:top w:val="nil"/>
              <w:left w:val="nil"/>
              <w:bottom w:val="nil"/>
              <w:right w:val="single" w:sz="4" w:space="0" w:color="000000"/>
            </w:tcBorders>
            <w:hideMark/>
          </w:tcPr>
          <w:p w14:paraId="63719AC1"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Transferencias Federales Etiquetadas</w:t>
            </w:r>
            <w:r w:rsidRPr="00E84DBE">
              <w:rPr>
                <w:rFonts w:eastAsia="Times New Roman" w:cs="Arial"/>
                <w:b/>
                <w:bCs/>
                <w:sz w:val="14"/>
                <w:szCs w:val="14"/>
                <w:lang w:eastAsia="es-MX"/>
              </w:rPr>
              <w:br/>
              <w:t>(2 = A+B+C+D+E)</w:t>
            </w:r>
          </w:p>
        </w:tc>
        <w:tc>
          <w:tcPr>
            <w:tcW w:w="581" w:type="pct"/>
            <w:tcBorders>
              <w:top w:val="nil"/>
              <w:left w:val="single" w:sz="4" w:space="0" w:color="auto"/>
              <w:bottom w:val="nil"/>
              <w:right w:val="single" w:sz="4" w:space="0" w:color="auto"/>
            </w:tcBorders>
            <w:vAlign w:val="center"/>
            <w:hideMark/>
          </w:tcPr>
          <w:p w14:paraId="184AB8C7"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114,241,050,701</w:t>
            </w:r>
          </w:p>
        </w:tc>
        <w:tc>
          <w:tcPr>
            <w:tcW w:w="581" w:type="pct"/>
            <w:tcBorders>
              <w:top w:val="nil"/>
              <w:left w:val="nil"/>
              <w:bottom w:val="nil"/>
              <w:right w:val="single" w:sz="4" w:space="0" w:color="auto"/>
            </w:tcBorders>
            <w:vAlign w:val="center"/>
            <w:hideMark/>
          </w:tcPr>
          <w:p w14:paraId="059F7BE5"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120,492,320,993</w:t>
            </w:r>
          </w:p>
        </w:tc>
        <w:tc>
          <w:tcPr>
            <w:tcW w:w="581" w:type="pct"/>
            <w:tcBorders>
              <w:top w:val="nil"/>
              <w:left w:val="nil"/>
              <w:bottom w:val="nil"/>
              <w:right w:val="single" w:sz="4" w:space="0" w:color="auto"/>
            </w:tcBorders>
            <w:vAlign w:val="center"/>
            <w:hideMark/>
          </w:tcPr>
          <w:p w14:paraId="5260AC40"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127,085,660,798</w:t>
            </w:r>
          </w:p>
        </w:tc>
        <w:tc>
          <w:tcPr>
            <w:tcW w:w="581" w:type="pct"/>
            <w:tcBorders>
              <w:top w:val="nil"/>
              <w:left w:val="nil"/>
              <w:bottom w:val="nil"/>
              <w:right w:val="single" w:sz="4" w:space="0" w:color="auto"/>
            </w:tcBorders>
            <w:vAlign w:val="center"/>
            <w:hideMark/>
          </w:tcPr>
          <w:p w14:paraId="61BCE598"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134,039,788,160</w:t>
            </w:r>
          </w:p>
        </w:tc>
        <w:tc>
          <w:tcPr>
            <w:tcW w:w="581" w:type="pct"/>
            <w:tcBorders>
              <w:top w:val="nil"/>
              <w:left w:val="nil"/>
              <w:bottom w:val="nil"/>
              <w:right w:val="single" w:sz="4" w:space="0" w:color="auto"/>
            </w:tcBorders>
            <w:vAlign w:val="center"/>
            <w:hideMark/>
          </w:tcPr>
          <w:p w14:paraId="26C0E9F6"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141,374,445,367</w:t>
            </w:r>
          </w:p>
        </w:tc>
        <w:tc>
          <w:tcPr>
            <w:tcW w:w="667" w:type="pct"/>
            <w:tcBorders>
              <w:top w:val="nil"/>
              <w:left w:val="nil"/>
              <w:bottom w:val="nil"/>
              <w:right w:val="single" w:sz="4" w:space="0" w:color="auto"/>
            </w:tcBorders>
            <w:vAlign w:val="center"/>
            <w:hideMark/>
          </w:tcPr>
          <w:p w14:paraId="51DC51DE"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149,110,455,014</w:t>
            </w:r>
          </w:p>
        </w:tc>
      </w:tr>
      <w:tr w:rsidR="00CB04CD" w:rsidRPr="00E84DBE" w14:paraId="1B6B10A3" w14:textId="77777777" w:rsidTr="00CB04CD">
        <w:trPr>
          <w:trHeight w:val="227"/>
        </w:trPr>
        <w:tc>
          <w:tcPr>
            <w:tcW w:w="207" w:type="pct"/>
            <w:tcBorders>
              <w:top w:val="nil"/>
              <w:left w:val="single" w:sz="4" w:space="0" w:color="auto"/>
              <w:bottom w:val="nil"/>
              <w:right w:val="nil"/>
            </w:tcBorders>
            <w:shd w:val="clear" w:color="auto" w:fill="FFFFFF"/>
            <w:noWrap/>
            <w:hideMark/>
          </w:tcPr>
          <w:p w14:paraId="2E81FE9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C1034A7"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077" w:type="pct"/>
            <w:tcBorders>
              <w:top w:val="nil"/>
              <w:left w:val="nil"/>
              <w:bottom w:val="nil"/>
              <w:right w:val="single" w:sz="4" w:space="0" w:color="auto"/>
            </w:tcBorders>
            <w:hideMark/>
          </w:tcPr>
          <w:p w14:paraId="24C0D00C"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Aportaciones</w:t>
            </w:r>
          </w:p>
        </w:tc>
        <w:tc>
          <w:tcPr>
            <w:tcW w:w="581" w:type="pct"/>
            <w:tcBorders>
              <w:top w:val="nil"/>
              <w:left w:val="single" w:sz="4" w:space="0" w:color="auto"/>
              <w:bottom w:val="nil"/>
              <w:right w:val="single" w:sz="4" w:space="0" w:color="auto"/>
            </w:tcBorders>
            <w:hideMark/>
          </w:tcPr>
          <w:p w14:paraId="13FA2CF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98,003,409,659</w:t>
            </w:r>
          </w:p>
        </w:tc>
        <w:tc>
          <w:tcPr>
            <w:tcW w:w="581" w:type="pct"/>
            <w:tcBorders>
              <w:top w:val="nil"/>
              <w:left w:val="nil"/>
              <w:bottom w:val="nil"/>
              <w:right w:val="single" w:sz="4" w:space="0" w:color="auto"/>
            </w:tcBorders>
            <w:hideMark/>
          </w:tcPr>
          <w:p w14:paraId="7F9C841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103,366,156,234</w:t>
            </w:r>
          </w:p>
        </w:tc>
        <w:tc>
          <w:tcPr>
            <w:tcW w:w="581" w:type="pct"/>
            <w:tcBorders>
              <w:top w:val="nil"/>
              <w:left w:val="nil"/>
              <w:bottom w:val="nil"/>
              <w:right w:val="single" w:sz="4" w:space="0" w:color="auto"/>
            </w:tcBorders>
            <w:hideMark/>
          </w:tcPr>
          <w:p w14:paraId="3284E15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109,022,352,303</w:t>
            </w:r>
          </w:p>
        </w:tc>
        <w:tc>
          <w:tcPr>
            <w:tcW w:w="581" w:type="pct"/>
            <w:tcBorders>
              <w:top w:val="nil"/>
              <w:left w:val="nil"/>
              <w:bottom w:val="nil"/>
              <w:right w:val="single" w:sz="4" w:space="0" w:color="auto"/>
            </w:tcBorders>
            <w:hideMark/>
          </w:tcPr>
          <w:p w14:paraId="2EC699C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114,988,055,423</w:t>
            </w:r>
          </w:p>
        </w:tc>
        <w:tc>
          <w:tcPr>
            <w:tcW w:w="581" w:type="pct"/>
            <w:tcBorders>
              <w:top w:val="nil"/>
              <w:left w:val="nil"/>
              <w:bottom w:val="nil"/>
              <w:right w:val="single" w:sz="4" w:space="0" w:color="auto"/>
            </w:tcBorders>
            <w:hideMark/>
          </w:tcPr>
          <w:p w14:paraId="140758B1"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121,280,201,814</w:t>
            </w:r>
          </w:p>
        </w:tc>
        <w:tc>
          <w:tcPr>
            <w:tcW w:w="667" w:type="pct"/>
            <w:tcBorders>
              <w:top w:val="nil"/>
              <w:left w:val="nil"/>
              <w:bottom w:val="nil"/>
              <w:right w:val="single" w:sz="4" w:space="0" w:color="auto"/>
            </w:tcBorders>
            <w:hideMark/>
          </w:tcPr>
          <w:p w14:paraId="78E24481"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127,916,654,457</w:t>
            </w:r>
          </w:p>
        </w:tc>
      </w:tr>
      <w:tr w:rsidR="00CB04CD" w:rsidRPr="00E84DBE" w14:paraId="53F50C2B" w14:textId="77777777" w:rsidTr="00CB04CD">
        <w:trPr>
          <w:trHeight w:val="227"/>
        </w:trPr>
        <w:tc>
          <w:tcPr>
            <w:tcW w:w="207" w:type="pct"/>
            <w:tcBorders>
              <w:top w:val="nil"/>
              <w:left w:val="single" w:sz="4" w:space="0" w:color="auto"/>
              <w:bottom w:val="nil"/>
              <w:right w:val="nil"/>
            </w:tcBorders>
            <w:shd w:val="clear" w:color="auto" w:fill="FFFFFF"/>
            <w:noWrap/>
            <w:hideMark/>
          </w:tcPr>
          <w:p w14:paraId="7569F5C8"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7D06FF2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077" w:type="pct"/>
            <w:tcBorders>
              <w:top w:val="nil"/>
              <w:left w:val="nil"/>
              <w:bottom w:val="nil"/>
              <w:right w:val="single" w:sz="4" w:space="0" w:color="auto"/>
            </w:tcBorders>
            <w:hideMark/>
          </w:tcPr>
          <w:p w14:paraId="10785591"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581" w:type="pct"/>
            <w:tcBorders>
              <w:top w:val="nil"/>
              <w:left w:val="single" w:sz="4" w:space="0" w:color="auto"/>
              <w:bottom w:val="nil"/>
              <w:right w:val="single" w:sz="4" w:space="0" w:color="auto"/>
            </w:tcBorders>
            <w:hideMark/>
          </w:tcPr>
          <w:p w14:paraId="737744A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11,229,758,843</w:t>
            </w:r>
          </w:p>
        </w:tc>
        <w:tc>
          <w:tcPr>
            <w:tcW w:w="581" w:type="pct"/>
            <w:tcBorders>
              <w:top w:val="nil"/>
              <w:left w:val="nil"/>
              <w:bottom w:val="nil"/>
              <w:right w:val="single" w:sz="4" w:space="0" w:color="auto"/>
            </w:tcBorders>
            <w:hideMark/>
          </w:tcPr>
          <w:p w14:paraId="4191EEF2"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11,844,251,246</w:t>
            </w:r>
          </w:p>
        </w:tc>
        <w:tc>
          <w:tcPr>
            <w:tcW w:w="581" w:type="pct"/>
            <w:tcBorders>
              <w:top w:val="nil"/>
              <w:left w:val="nil"/>
              <w:bottom w:val="nil"/>
              <w:right w:val="single" w:sz="4" w:space="0" w:color="auto"/>
            </w:tcBorders>
            <w:hideMark/>
          </w:tcPr>
          <w:p w14:paraId="168894F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12,492,368,675</w:t>
            </w:r>
          </w:p>
        </w:tc>
        <w:tc>
          <w:tcPr>
            <w:tcW w:w="581" w:type="pct"/>
            <w:tcBorders>
              <w:top w:val="nil"/>
              <w:left w:val="nil"/>
              <w:bottom w:val="nil"/>
              <w:right w:val="single" w:sz="4" w:space="0" w:color="auto"/>
            </w:tcBorders>
            <w:hideMark/>
          </w:tcPr>
          <w:p w14:paraId="10C722B8"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13,175,951,089</w:t>
            </w:r>
          </w:p>
        </w:tc>
        <w:tc>
          <w:tcPr>
            <w:tcW w:w="581" w:type="pct"/>
            <w:tcBorders>
              <w:top w:val="nil"/>
              <w:left w:val="nil"/>
              <w:bottom w:val="nil"/>
              <w:right w:val="single" w:sz="4" w:space="0" w:color="auto"/>
            </w:tcBorders>
            <w:hideMark/>
          </w:tcPr>
          <w:p w14:paraId="428BAAA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13,896,939,134</w:t>
            </w:r>
          </w:p>
        </w:tc>
        <w:tc>
          <w:tcPr>
            <w:tcW w:w="667" w:type="pct"/>
            <w:tcBorders>
              <w:top w:val="nil"/>
              <w:left w:val="nil"/>
              <w:bottom w:val="nil"/>
              <w:right w:val="single" w:sz="4" w:space="0" w:color="auto"/>
            </w:tcBorders>
            <w:hideMark/>
          </w:tcPr>
          <w:p w14:paraId="031EE99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14,657,379,640</w:t>
            </w:r>
          </w:p>
        </w:tc>
      </w:tr>
      <w:tr w:rsidR="00CB04CD" w:rsidRPr="00E84DBE" w14:paraId="11F71C2A" w14:textId="77777777" w:rsidTr="00CB04CD">
        <w:trPr>
          <w:trHeight w:val="227"/>
        </w:trPr>
        <w:tc>
          <w:tcPr>
            <w:tcW w:w="207" w:type="pct"/>
            <w:tcBorders>
              <w:top w:val="nil"/>
              <w:left w:val="single" w:sz="4" w:space="0" w:color="auto"/>
              <w:bottom w:val="nil"/>
              <w:right w:val="nil"/>
            </w:tcBorders>
            <w:shd w:val="clear" w:color="auto" w:fill="FFFFFF"/>
            <w:noWrap/>
            <w:hideMark/>
          </w:tcPr>
          <w:p w14:paraId="7AE0A92F"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7C75F92"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077" w:type="pct"/>
            <w:tcBorders>
              <w:top w:val="nil"/>
              <w:left w:val="nil"/>
              <w:bottom w:val="nil"/>
              <w:right w:val="single" w:sz="4" w:space="0" w:color="auto"/>
            </w:tcBorders>
            <w:hideMark/>
          </w:tcPr>
          <w:p w14:paraId="56AA224E"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Fondos distintos de Aportaciones</w:t>
            </w:r>
          </w:p>
        </w:tc>
        <w:tc>
          <w:tcPr>
            <w:tcW w:w="581" w:type="pct"/>
            <w:tcBorders>
              <w:top w:val="nil"/>
              <w:left w:val="single" w:sz="4" w:space="0" w:color="auto"/>
              <w:bottom w:val="nil"/>
              <w:right w:val="single" w:sz="4" w:space="0" w:color="auto"/>
            </w:tcBorders>
            <w:hideMark/>
          </w:tcPr>
          <w:p w14:paraId="57F2E20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1BD507C6"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5697EE6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1DA0C29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3B564CB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78CAAA6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6A351C4E" w14:textId="77777777" w:rsidTr="00CB04CD">
        <w:trPr>
          <w:trHeight w:val="227"/>
        </w:trPr>
        <w:tc>
          <w:tcPr>
            <w:tcW w:w="207" w:type="pct"/>
            <w:tcBorders>
              <w:top w:val="nil"/>
              <w:left w:val="single" w:sz="4" w:space="0" w:color="auto"/>
              <w:bottom w:val="nil"/>
              <w:right w:val="nil"/>
            </w:tcBorders>
            <w:shd w:val="clear" w:color="auto" w:fill="FFFFFF"/>
            <w:noWrap/>
            <w:hideMark/>
          </w:tcPr>
          <w:p w14:paraId="5000315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32713497"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077" w:type="pct"/>
            <w:tcBorders>
              <w:top w:val="nil"/>
              <w:left w:val="nil"/>
              <w:bottom w:val="nil"/>
              <w:right w:val="single" w:sz="4" w:space="0" w:color="auto"/>
            </w:tcBorders>
            <w:hideMark/>
          </w:tcPr>
          <w:p w14:paraId="3BFB4CD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Transferencias, Asignaciones, Subsidios y Subvenciones, y Pensiones y Jubilaciones</w:t>
            </w:r>
          </w:p>
        </w:tc>
        <w:tc>
          <w:tcPr>
            <w:tcW w:w="581" w:type="pct"/>
            <w:tcBorders>
              <w:top w:val="nil"/>
              <w:left w:val="single" w:sz="4" w:space="0" w:color="auto"/>
              <w:bottom w:val="nil"/>
              <w:right w:val="single" w:sz="4" w:space="0" w:color="auto"/>
            </w:tcBorders>
            <w:vAlign w:val="center"/>
            <w:hideMark/>
          </w:tcPr>
          <w:p w14:paraId="32C0831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5,007,882,199</w:t>
            </w:r>
          </w:p>
        </w:tc>
        <w:tc>
          <w:tcPr>
            <w:tcW w:w="581" w:type="pct"/>
            <w:tcBorders>
              <w:top w:val="nil"/>
              <w:left w:val="nil"/>
              <w:bottom w:val="nil"/>
              <w:right w:val="single" w:sz="4" w:space="0" w:color="auto"/>
            </w:tcBorders>
            <w:vAlign w:val="center"/>
            <w:hideMark/>
          </w:tcPr>
          <w:p w14:paraId="1E72DEA8"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5,281,913,513</w:t>
            </w:r>
          </w:p>
        </w:tc>
        <w:tc>
          <w:tcPr>
            <w:tcW w:w="581" w:type="pct"/>
            <w:tcBorders>
              <w:top w:val="nil"/>
              <w:left w:val="nil"/>
              <w:bottom w:val="nil"/>
              <w:right w:val="single" w:sz="4" w:space="0" w:color="auto"/>
            </w:tcBorders>
            <w:vAlign w:val="center"/>
            <w:hideMark/>
          </w:tcPr>
          <w:p w14:paraId="37D494D2"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5,570,939,820</w:t>
            </w:r>
          </w:p>
        </w:tc>
        <w:tc>
          <w:tcPr>
            <w:tcW w:w="581" w:type="pct"/>
            <w:tcBorders>
              <w:top w:val="nil"/>
              <w:left w:val="nil"/>
              <w:bottom w:val="nil"/>
              <w:right w:val="single" w:sz="4" w:space="0" w:color="auto"/>
            </w:tcBorders>
            <w:vAlign w:val="center"/>
            <w:hideMark/>
          </w:tcPr>
          <w:p w14:paraId="715E0232"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5,875,781,648</w:t>
            </w:r>
          </w:p>
        </w:tc>
        <w:tc>
          <w:tcPr>
            <w:tcW w:w="581" w:type="pct"/>
            <w:tcBorders>
              <w:top w:val="nil"/>
              <w:left w:val="nil"/>
              <w:bottom w:val="nil"/>
              <w:right w:val="single" w:sz="4" w:space="0" w:color="auto"/>
            </w:tcBorders>
            <w:vAlign w:val="center"/>
            <w:hideMark/>
          </w:tcPr>
          <w:p w14:paraId="3E87241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6,197,304,419</w:t>
            </w:r>
          </w:p>
        </w:tc>
        <w:tc>
          <w:tcPr>
            <w:tcW w:w="667" w:type="pct"/>
            <w:tcBorders>
              <w:top w:val="nil"/>
              <w:left w:val="nil"/>
              <w:bottom w:val="nil"/>
              <w:right w:val="single" w:sz="4" w:space="0" w:color="auto"/>
            </w:tcBorders>
            <w:vAlign w:val="center"/>
            <w:hideMark/>
          </w:tcPr>
          <w:p w14:paraId="617F42D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6,536,420,917</w:t>
            </w:r>
          </w:p>
        </w:tc>
      </w:tr>
      <w:tr w:rsidR="00CB04CD" w:rsidRPr="00E84DBE" w14:paraId="071BB86C" w14:textId="77777777" w:rsidTr="00CB04CD">
        <w:trPr>
          <w:trHeight w:val="227"/>
        </w:trPr>
        <w:tc>
          <w:tcPr>
            <w:tcW w:w="207" w:type="pct"/>
            <w:tcBorders>
              <w:top w:val="nil"/>
              <w:left w:val="single" w:sz="4" w:space="0" w:color="auto"/>
              <w:bottom w:val="nil"/>
              <w:right w:val="nil"/>
            </w:tcBorders>
            <w:shd w:val="clear" w:color="auto" w:fill="FFFFFF"/>
            <w:noWrap/>
            <w:hideMark/>
          </w:tcPr>
          <w:p w14:paraId="128BDE7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AE32872"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077" w:type="pct"/>
            <w:tcBorders>
              <w:top w:val="nil"/>
              <w:left w:val="nil"/>
              <w:bottom w:val="nil"/>
              <w:right w:val="single" w:sz="4" w:space="0" w:color="auto"/>
            </w:tcBorders>
            <w:hideMark/>
          </w:tcPr>
          <w:p w14:paraId="17935863"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Otras Transferencias Federales Etiquetadas</w:t>
            </w:r>
          </w:p>
        </w:tc>
        <w:tc>
          <w:tcPr>
            <w:tcW w:w="581" w:type="pct"/>
            <w:tcBorders>
              <w:top w:val="nil"/>
              <w:left w:val="single" w:sz="4" w:space="0" w:color="auto"/>
              <w:bottom w:val="nil"/>
              <w:right w:val="single" w:sz="4" w:space="0" w:color="auto"/>
            </w:tcBorders>
            <w:hideMark/>
          </w:tcPr>
          <w:p w14:paraId="0AB27F92"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7CD4C0F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8FB4455"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2A7935BD"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70F6AB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757E3DF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530B7C55" w14:textId="77777777" w:rsidTr="00CB04CD">
        <w:trPr>
          <w:trHeight w:val="227"/>
        </w:trPr>
        <w:tc>
          <w:tcPr>
            <w:tcW w:w="207" w:type="pct"/>
            <w:tcBorders>
              <w:top w:val="nil"/>
              <w:left w:val="single" w:sz="4" w:space="0" w:color="auto"/>
              <w:bottom w:val="nil"/>
              <w:right w:val="nil"/>
            </w:tcBorders>
            <w:shd w:val="clear" w:color="auto" w:fill="FFFFFF"/>
            <w:noWrap/>
            <w:hideMark/>
          </w:tcPr>
          <w:p w14:paraId="4D7EC799"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3BC138C" w14:textId="77777777" w:rsidR="00CB04CD" w:rsidRPr="00E84DBE" w:rsidRDefault="00CB04CD" w:rsidP="00C34029">
            <w:pPr>
              <w:rPr>
                <w:rFonts w:eastAsia="Times New Roman" w:cs="Arial"/>
                <w:sz w:val="14"/>
                <w:szCs w:val="14"/>
                <w:lang w:eastAsia="es-MX"/>
              </w:rPr>
            </w:pPr>
          </w:p>
        </w:tc>
        <w:tc>
          <w:tcPr>
            <w:tcW w:w="1077" w:type="pct"/>
            <w:tcBorders>
              <w:top w:val="nil"/>
              <w:left w:val="nil"/>
              <w:bottom w:val="nil"/>
              <w:right w:val="single" w:sz="4" w:space="0" w:color="auto"/>
            </w:tcBorders>
            <w:hideMark/>
          </w:tcPr>
          <w:p w14:paraId="3146A8F8"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single" w:sz="4" w:space="0" w:color="auto"/>
              <w:bottom w:val="nil"/>
              <w:right w:val="single" w:sz="4" w:space="0" w:color="auto"/>
            </w:tcBorders>
            <w:hideMark/>
          </w:tcPr>
          <w:p w14:paraId="7ECCF407"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17BAAAC1"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6F356B7A"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6F691E74"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2EC24127"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67" w:type="pct"/>
            <w:tcBorders>
              <w:top w:val="nil"/>
              <w:left w:val="nil"/>
              <w:bottom w:val="nil"/>
              <w:right w:val="single" w:sz="4" w:space="0" w:color="auto"/>
            </w:tcBorders>
            <w:hideMark/>
          </w:tcPr>
          <w:p w14:paraId="6D4A3621"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2F9759D6" w14:textId="77777777" w:rsidTr="00CB04CD">
        <w:trPr>
          <w:trHeight w:val="227"/>
        </w:trPr>
        <w:tc>
          <w:tcPr>
            <w:tcW w:w="207" w:type="pct"/>
            <w:tcBorders>
              <w:top w:val="nil"/>
              <w:left w:val="single" w:sz="4" w:space="0" w:color="auto"/>
              <w:bottom w:val="nil"/>
              <w:right w:val="nil"/>
            </w:tcBorders>
            <w:shd w:val="clear" w:color="auto" w:fill="FFFFFF"/>
            <w:noWrap/>
            <w:hideMark/>
          </w:tcPr>
          <w:p w14:paraId="7AADBBE4"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223" w:type="pct"/>
            <w:gridSpan w:val="2"/>
            <w:tcBorders>
              <w:top w:val="nil"/>
              <w:left w:val="nil"/>
              <w:bottom w:val="nil"/>
              <w:right w:val="single" w:sz="4" w:space="0" w:color="000000"/>
            </w:tcBorders>
            <w:hideMark/>
          </w:tcPr>
          <w:p w14:paraId="760E130F"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Financiamientos</w:t>
            </w:r>
            <w:r w:rsidRPr="00E84DBE">
              <w:rPr>
                <w:rFonts w:eastAsia="Times New Roman" w:cs="Arial"/>
                <w:b/>
                <w:bCs/>
                <w:sz w:val="14"/>
                <w:szCs w:val="14"/>
                <w:lang w:eastAsia="es-MX"/>
              </w:rPr>
              <w:br/>
              <w:t>(3 = A)</w:t>
            </w:r>
          </w:p>
        </w:tc>
        <w:tc>
          <w:tcPr>
            <w:tcW w:w="581" w:type="pct"/>
            <w:tcBorders>
              <w:top w:val="nil"/>
              <w:left w:val="single" w:sz="4" w:space="0" w:color="auto"/>
              <w:bottom w:val="nil"/>
              <w:right w:val="single" w:sz="4" w:space="0" w:color="auto"/>
            </w:tcBorders>
            <w:vAlign w:val="center"/>
            <w:hideMark/>
          </w:tcPr>
          <w:p w14:paraId="14FE22C2"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8,905,315,025</w:t>
            </w:r>
          </w:p>
        </w:tc>
        <w:tc>
          <w:tcPr>
            <w:tcW w:w="581" w:type="pct"/>
            <w:tcBorders>
              <w:top w:val="nil"/>
              <w:left w:val="nil"/>
              <w:bottom w:val="nil"/>
              <w:right w:val="single" w:sz="4" w:space="0" w:color="auto"/>
            </w:tcBorders>
            <w:vAlign w:val="center"/>
            <w:hideMark/>
          </w:tcPr>
          <w:p w14:paraId="74882D23"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10,130,905,588</w:t>
            </w:r>
          </w:p>
        </w:tc>
        <w:tc>
          <w:tcPr>
            <w:tcW w:w="581" w:type="pct"/>
            <w:tcBorders>
              <w:top w:val="nil"/>
              <w:left w:val="nil"/>
              <w:bottom w:val="nil"/>
              <w:right w:val="single" w:sz="4" w:space="0" w:color="auto"/>
            </w:tcBorders>
            <w:vAlign w:val="center"/>
            <w:hideMark/>
          </w:tcPr>
          <w:p w14:paraId="27388E8E"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10,840,149,888</w:t>
            </w:r>
          </w:p>
        </w:tc>
        <w:tc>
          <w:tcPr>
            <w:tcW w:w="581" w:type="pct"/>
            <w:tcBorders>
              <w:top w:val="nil"/>
              <w:left w:val="nil"/>
              <w:bottom w:val="nil"/>
              <w:right w:val="single" w:sz="4" w:space="0" w:color="auto"/>
            </w:tcBorders>
            <w:vAlign w:val="center"/>
            <w:hideMark/>
          </w:tcPr>
          <w:p w14:paraId="3FC1945C"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11,663,735,924</w:t>
            </w:r>
          </w:p>
        </w:tc>
        <w:tc>
          <w:tcPr>
            <w:tcW w:w="581" w:type="pct"/>
            <w:tcBorders>
              <w:top w:val="nil"/>
              <w:left w:val="nil"/>
              <w:bottom w:val="nil"/>
              <w:right w:val="single" w:sz="4" w:space="0" w:color="auto"/>
            </w:tcBorders>
            <w:vAlign w:val="center"/>
            <w:hideMark/>
          </w:tcPr>
          <w:p w14:paraId="00655ECC"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12,508,531,967</w:t>
            </w:r>
          </w:p>
        </w:tc>
        <w:tc>
          <w:tcPr>
            <w:tcW w:w="667" w:type="pct"/>
            <w:tcBorders>
              <w:top w:val="nil"/>
              <w:left w:val="nil"/>
              <w:bottom w:val="nil"/>
              <w:right w:val="single" w:sz="4" w:space="0" w:color="auto"/>
            </w:tcBorders>
            <w:vAlign w:val="center"/>
            <w:hideMark/>
          </w:tcPr>
          <w:p w14:paraId="4BF275A0"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13,251,440,454</w:t>
            </w:r>
          </w:p>
        </w:tc>
      </w:tr>
      <w:tr w:rsidR="00CB04CD" w:rsidRPr="00E84DBE" w14:paraId="63E68DE5" w14:textId="77777777" w:rsidTr="00CB04CD">
        <w:trPr>
          <w:trHeight w:val="227"/>
        </w:trPr>
        <w:tc>
          <w:tcPr>
            <w:tcW w:w="207" w:type="pct"/>
            <w:tcBorders>
              <w:top w:val="nil"/>
              <w:left w:val="single" w:sz="4" w:space="0" w:color="auto"/>
              <w:bottom w:val="nil"/>
              <w:right w:val="nil"/>
            </w:tcBorders>
            <w:shd w:val="clear" w:color="auto" w:fill="FFFFFF"/>
            <w:noWrap/>
            <w:hideMark/>
          </w:tcPr>
          <w:p w14:paraId="5C5E3F62"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26B267DF"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077" w:type="pct"/>
            <w:tcBorders>
              <w:top w:val="nil"/>
              <w:left w:val="nil"/>
              <w:bottom w:val="nil"/>
              <w:right w:val="single" w:sz="4" w:space="0" w:color="auto"/>
            </w:tcBorders>
            <w:hideMark/>
          </w:tcPr>
          <w:p w14:paraId="2547A49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w:t>
            </w:r>
          </w:p>
        </w:tc>
        <w:tc>
          <w:tcPr>
            <w:tcW w:w="581" w:type="pct"/>
            <w:tcBorders>
              <w:top w:val="nil"/>
              <w:left w:val="single" w:sz="4" w:space="0" w:color="auto"/>
              <w:bottom w:val="nil"/>
              <w:right w:val="single" w:sz="4" w:space="0" w:color="auto"/>
            </w:tcBorders>
            <w:hideMark/>
          </w:tcPr>
          <w:p w14:paraId="4882E34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8,905,315,025</w:t>
            </w:r>
          </w:p>
        </w:tc>
        <w:tc>
          <w:tcPr>
            <w:tcW w:w="581" w:type="pct"/>
            <w:tcBorders>
              <w:top w:val="nil"/>
              <w:left w:val="nil"/>
              <w:bottom w:val="nil"/>
              <w:right w:val="single" w:sz="4" w:space="0" w:color="auto"/>
            </w:tcBorders>
            <w:hideMark/>
          </w:tcPr>
          <w:p w14:paraId="6055857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10,130,905,588</w:t>
            </w:r>
          </w:p>
        </w:tc>
        <w:tc>
          <w:tcPr>
            <w:tcW w:w="581" w:type="pct"/>
            <w:tcBorders>
              <w:top w:val="nil"/>
              <w:left w:val="nil"/>
              <w:bottom w:val="nil"/>
              <w:right w:val="single" w:sz="4" w:space="0" w:color="auto"/>
            </w:tcBorders>
            <w:hideMark/>
          </w:tcPr>
          <w:p w14:paraId="4BECFC71"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10,840,149,888</w:t>
            </w:r>
          </w:p>
        </w:tc>
        <w:tc>
          <w:tcPr>
            <w:tcW w:w="581" w:type="pct"/>
            <w:tcBorders>
              <w:top w:val="nil"/>
              <w:left w:val="nil"/>
              <w:bottom w:val="nil"/>
              <w:right w:val="single" w:sz="4" w:space="0" w:color="auto"/>
            </w:tcBorders>
            <w:hideMark/>
          </w:tcPr>
          <w:p w14:paraId="5D9D6453"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11,663,735,924</w:t>
            </w:r>
          </w:p>
        </w:tc>
        <w:tc>
          <w:tcPr>
            <w:tcW w:w="581" w:type="pct"/>
            <w:tcBorders>
              <w:top w:val="nil"/>
              <w:left w:val="nil"/>
              <w:bottom w:val="nil"/>
              <w:right w:val="single" w:sz="4" w:space="0" w:color="auto"/>
            </w:tcBorders>
            <w:hideMark/>
          </w:tcPr>
          <w:p w14:paraId="7A1EA5D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12,508,531,967</w:t>
            </w:r>
          </w:p>
        </w:tc>
        <w:tc>
          <w:tcPr>
            <w:tcW w:w="667" w:type="pct"/>
            <w:tcBorders>
              <w:top w:val="nil"/>
              <w:left w:val="nil"/>
              <w:bottom w:val="nil"/>
              <w:right w:val="single" w:sz="4" w:space="0" w:color="auto"/>
            </w:tcBorders>
            <w:hideMark/>
          </w:tcPr>
          <w:p w14:paraId="04CDBD5F"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13,251,440,454</w:t>
            </w:r>
          </w:p>
        </w:tc>
      </w:tr>
      <w:tr w:rsidR="00CB04CD" w:rsidRPr="00E84DBE" w14:paraId="0FFFD6FA" w14:textId="77777777" w:rsidTr="00512318">
        <w:trPr>
          <w:trHeight w:val="227"/>
        </w:trPr>
        <w:tc>
          <w:tcPr>
            <w:tcW w:w="207" w:type="pct"/>
            <w:tcBorders>
              <w:top w:val="nil"/>
              <w:left w:val="single" w:sz="4" w:space="0" w:color="auto"/>
              <w:bottom w:val="single" w:sz="4" w:space="0" w:color="auto"/>
              <w:right w:val="nil"/>
            </w:tcBorders>
            <w:shd w:val="clear" w:color="auto" w:fill="FFFFFF"/>
            <w:noWrap/>
            <w:hideMark/>
          </w:tcPr>
          <w:p w14:paraId="1EDE86B9"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46" w:type="pct"/>
            <w:tcBorders>
              <w:bottom w:val="single" w:sz="4" w:space="0" w:color="auto"/>
            </w:tcBorders>
            <w:noWrap/>
            <w:hideMark/>
          </w:tcPr>
          <w:p w14:paraId="59E33CB3" w14:textId="77777777" w:rsidR="00CB04CD" w:rsidRPr="00E84DBE" w:rsidRDefault="00CB04CD" w:rsidP="00C34029">
            <w:pPr>
              <w:rPr>
                <w:rFonts w:eastAsia="Times New Roman" w:cs="Arial"/>
                <w:color w:val="000000"/>
                <w:sz w:val="14"/>
                <w:szCs w:val="14"/>
                <w:lang w:eastAsia="es-MX"/>
              </w:rPr>
            </w:pPr>
          </w:p>
        </w:tc>
        <w:tc>
          <w:tcPr>
            <w:tcW w:w="1077" w:type="pct"/>
            <w:tcBorders>
              <w:top w:val="nil"/>
              <w:left w:val="nil"/>
              <w:bottom w:val="single" w:sz="4" w:space="0" w:color="auto"/>
              <w:right w:val="single" w:sz="4" w:space="0" w:color="auto"/>
            </w:tcBorders>
            <w:hideMark/>
          </w:tcPr>
          <w:p w14:paraId="7D9C8287"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single" w:sz="4" w:space="0" w:color="auto"/>
              <w:bottom w:val="single" w:sz="4" w:space="0" w:color="auto"/>
              <w:right w:val="single" w:sz="4" w:space="0" w:color="auto"/>
            </w:tcBorders>
            <w:hideMark/>
          </w:tcPr>
          <w:p w14:paraId="78487DA2" w14:textId="77777777" w:rsidR="00CB04CD" w:rsidRPr="00E84DBE" w:rsidRDefault="00CB04CD" w:rsidP="00C34029">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hideMark/>
          </w:tcPr>
          <w:p w14:paraId="1008B527" w14:textId="77777777" w:rsidR="00CB04CD" w:rsidRPr="00E84DBE" w:rsidRDefault="00CB04CD" w:rsidP="00C34029">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hideMark/>
          </w:tcPr>
          <w:p w14:paraId="391A520A" w14:textId="77777777" w:rsidR="00CB04CD" w:rsidRPr="00E84DBE" w:rsidRDefault="00CB04CD" w:rsidP="00C34029">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hideMark/>
          </w:tcPr>
          <w:p w14:paraId="41CA1E4D" w14:textId="77777777" w:rsidR="00CB04CD" w:rsidRPr="00E84DBE" w:rsidRDefault="00CB04CD" w:rsidP="00C34029">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hideMark/>
          </w:tcPr>
          <w:p w14:paraId="01F9538E" w14:textId="77777777" w:rsidR="00CB04CD" w:rsidRPr="00E84DBE" w:rsidRDefault="00CB04CD" w:rsidP="00C34029">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67" w:type="pct"/>
            <w:tcBorders>
              <w:top w:val="nil"/>
              <w:left w:val="nil"/>
              <w:bottom w:val="single" w:sz="4" w:space="0" w:color="auto"/>
              <w:right w:val="single" w:sz="4" w:space="0" w:color="auto"/>
            </w:tcBorders>
            <w:hideMark/>
          </w:tcPr>
          <w:p w14:paraId="5507316C" w14:textId="77777777" w:rsidR="00CB04CD" w:rsidRPr="00E84DBE" w:rsidRDefault="00CB04CD" w:rsidP="00C34029">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r>
      <w:tr w:rsidR="00CB04CD" w:rsidRPr="00E84DBE" w14:paraId="4A379DCB" w14:textId="77777777" w:rsidTr="00512318">
        <w:trPr>
          <w:trHeight w:val="227"/>
        </w:trPr>
        <w:tc>
          <w:tcPr>
            <w:tcW w:w="207" w:type="pct"/>
            <w:tcBorders>
              <w:top w:val="single" w:sz="4" w:space="0" w:color="auto"/>
              <w:left w:val="single" w:sz="4" w:space="0" w:color="auto"/>
              <w:bottom w:val="nil"/>
              <w:right w:val="nil"/>
            </w:tcBorders>
            <w:shd w:val="clear" w:color="auto" w:fill="FFFFFF"/>
            <w:noWrap/>
            <w:hideMark/>
          </w:tcPr>
          <w:p w14:paraId="64E6FE06" w14:textId="77777777" w:rsidR="00CB04CD" w:rsidRPr="00E84DBE" w:rsidRDefault="00CB04CD" w:rsidP="00C34029">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4.</w:t>
            </w:r>
          </w:p>
        </w:tc>
        <w:tc>
          <w:tcPr>
            <w:tcW w:w="1223" w:type="pct"/>
            <w:gridSpan w:val="2"/>
            <w:tcBorders>
              <w:top w:val="single" w:sz="4" w:space="0" w:color="auto"/>
              <w:left w:val="nil"/>
              <w:bottom w:val="nil"/>
              <w:right w:val="single" w:sz="4" w:space="0" w:color="000000"/>
            </w:tcBorders>
            <w:shd w:val="clear" w:color="auto" w:fill="FFFFFF"/>
            <w:hideMark/>
          </w:tcPr>
          <w:p w14:paraId="0CAC17C8" w14:textId="77777777" w:rsidR="00CB04CD" w:rsidRPr="00E84DBE" w:rsidRDefault="00CB04CD" w:rsidP="00C34029">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Total de Ingresos Proyectados</w:t>
            </w:r>
            <w:r w:rsidRPr="00E84DBE">
              <w:rPr>
                <w:rFonts w:eastAsia="Times New Roman" w:cs="Arial"/>
                <w:b/>
                <w:bCs/>
                <w:color w:val="000000"/>
                <w:sz w:val="14"/>
                <w:szCs w:val="14"/>
                <w:lang w:eastAsia="es-MX"/>
              </w:rPr>
              <w:br/>
              <w:t>(4 = 1+2+3)</w:t>
            </w:r>
          </w:p>
        </w:tc>
        <w:tc>
          <w:tcPr>
            <w:tcW w:w="581" w:type="pct"/>
            <w:tcBorders>
              <w:top w:val="single" w:sz="4" w:space="0" w:color="auto"/>
              <w:left w:val="single" w:sz="4" w:space="0" w:color="auto"/>
              <w:bottom w:val="nil"/>
              <w:right w:val="single" w:sz="4" w:space="0" w:color="auto"/>
            </w:tcBorders>
            <w:shd w:val="clear" w:color="auto" w:fill="FFFFFF"/>
            <w:vAlign w:val="center"/>
            <w:hideMark/>
          </w:tcPr>
          <w:p w14:paraId="411900D7"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356,816,941,532</w:t>
            </w:r>
          </w:p>
        </w:tc>
        <w:tc>
          <w:tcPr>
            <w:tcW w:w="581" w:type="pct"/>
            <w:tcBorders>
              <w:top w:val="single" w:sz="4" w:space="0" w:color="auto"/>
              <w:left w:val="nil"/>
              <w:bottom w:val="nil"/>
              <w:right w:val="single" w:sz="4" w:space="0" w:color="auto"/>
            </w:tcBorders>
            <w:vAlign w:val="center"/>
            <w:hideMark/>
          </w:tcPr>
          <w:p w14:paraId="7741FFE2"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377,187,909,332</w:t>
            </w:r>
          </w:p>
        </w:tc>
        <w:tc>
          <w:tcPr>
            <w:tcW w:w="581" w:type="pct"/>
            <w:tcBorders>
              <w:top w:val="single" w:sz="4" w:space="0" w:color="auto"/>
              <w:left w:val="nil"/>
              <w:bottom w:val="nil"/>
              <w:right w:val="single" w:sz="4" w:space="0" w:color="auto"/>
            </w:tcBorders>
            <w:vAlign w:val="center"/>
            <w:hideMark/>
          </w:tcPr>
          <w:p w14:paraId="3A0281C1"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397,882,312,425</w:t>
            </w:r>
          </w:p>
        </w:tc>
        <w:tc>
          <w:tcPr>
            <w:tcW w:w="581" w:type="pct"/>
            <w:tcBorders>
              <w:top w:val="single" w:sz="4" w:space="0" w:color="auto"/>
              <w:left w:val="nil"/>
              <w:bottom w:val="nil"/>
              <w:right w:val="single" w:sz="4" w:space="0" w:color="auto"/>
            </w:tcBorders>
            <w:vAlign w:val="center"/>
            <w:hideMark/>
          </w:tcPr>
          <w:p w14:paraId="0D389E4F"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420,451,914,215</w:t>
            </w:r>
          </w:p>
        </w:tc>
        <w:tc>
          <w:tcPr>
            <w:tcW w:w="581" w:type="pct"/>
            <w:tcBorders>
              <w:top w:val="single" w:sz="4" w:space="0" w:color="auto"/>
              <w:left w:val="nil"/>
              <w:bottom w:val="nil"/>
              <w:right w:val="single" w:sz="4" w:space="0" w:color="auto"/>
            </w:tcBorders>
            <w:vAlign w:val="center"/>
            <w:hideMark/>
          </w:tcPr>
          <w:p w14:paraId="501E0454"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443,871,006,112</w:t>
            </w:r>
          </w:p>
        </w:tc>
        <w:tc>
          <w:tcPr>
            <w:tcW w:w="667" w:type="pct"/>
            <w:tcBorders>
              <w:top w:val="single" w:sz="4" w:space="0" w:color="auto"/>
              <w:left w:val="nil"/>
              <w:bottom w:val="nil"/>
              <w:right w:val="single" w:sz="4" w:space="0" w:color="auto"/>
            </w:tcBorders>
            <w:vAlign w:val="center"/>
            <w:hideMark/>
          </w:tcPr>
          <w:p w14:paraId="2A98FD3C"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468,611,966,079</w:t>
            </w:r>
          </w:p>
        </w:tc>
      </w:tr>
      <w:tr w:rsidR="00CB04CD" w:rsidRPr="00E84DBE" w14:paraId="6ADF5AD5" w14:textId="77777777" w:rsidTr="00ED0A66">
        <w:trPr>
          <w:trHeight w:val="353"/>
        </w:trPr>
        <w:tc>
          <w:tcPr>
            <w:tcW w:w="207" w:type="pct"/>
            <w:tcBorders>
              <w:top w:val="nil"/>
              <w:left w:val="single" w:sz="4" w:space="0" w:color="auto"/>
              <w:bottom w:val="single" w:sz="4" w:space="0" w:color="auto"/>
              <w:right w:val="nil"/>
            </w:tcBorders>
            <w:shd w:val="clear" w:color="auto" w:fill="FFFFFF"/>
            <w:noWrap/>
            <w:hideMark/>
          </w:tcPr>
          <w:p w14:paraId="52AD5B06" w14:textId="77777777" w:rsidR="00CB04CD" w:rsidRPr="00E84DBE" w:rsidRDefault="00CB04CD" w:rsidP="00C34029">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146" w:type="pct"/>
            <w:tcBorders>
              <w:bottom w:val="single" w:sz="4" w:space="0" w:color="auto"/>
            </w:tcBorders>
            <w:shd w:val="clear" w:color="auto" w:fill="FFFFFF"/>
            <w:hideMark/>
          </w:tcPr>
          <w:p w14:paraId="5F89CCB2" w14:textId="77777777" w:rsidR="00CB04CD" w:rsidRPr="00E84DBE" w:rsidRDefault="00CB04CD" w:rsidP="00C34029">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1077" w:type="pct"/>
            <w:tcBorders>
              <w:top w:val="nil"/>
              <w:left w:val="nil"/>
              <w:bottom w:val="single" w:sz="4" w:space="0" w:color="auto"/>
              <w:right w:val="single" w:sz="4" w:space="0" w:color="auto"/>
            </w:tcBorders>
            <w:shd w:val="clear" w:color="auto" w:fill="FFFFFF"/>
            <w:hideMark/>
          </w:tcPr>
          <w:p w14:paraId="447EA87F" w14:textId="77777777" w:rsidR="00CB04CD" w:rsidRPr="00E84DBE" w:rsidRDefault="00CB04CD" w:rsidP="00C34029">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single" w:sz="4" w:space="0" w:color="auto"/>
              <w:bottom w:val="single" w:sz="4" w:space="0" w:color="auto"/>
              <w:right w:val="single" w:sz="4" w:space="0" w:color="auto"/>
            </w:tcBorders>
            <w:shd w:val="clear" w:color="auto" w:fill="FFFFFF"/>
            <w:hideMark/>
          </w:tcPr>
          <w:p w14:paraId="4A12F630"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547B7869"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1FC74058"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39FC2E89"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1A920AF3"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667" w:type="pct"/>
            <w:tcBorders>
              <w:top w:val="nil"/>
              <w:left w:val="nil"/>
              <w:bottom w:val="single" w:sz="4" w:space="0" w:color="auto"/>
              <w:right w:val="single" w:sz="4" w:space="0" w:color="auto"/>
            </w:tcBorders>
            <w:shd w:val="clear" w:color="auto" w:fill="FFFFFF"/>
            <w:hideMark/>
          </w:tcPr>
          <w:p w14:paraId="6FBAC332"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r>
      <w:tr w:rsidR="00CB04CD" w:rsidRPr="00E84DBE" w14:paraId="11C70C17" w14:textId="77777777" w:rsidTr="00512318">
        <w:trPr>
          <w:trHeight w:val="227"/>
        </w:trPr>
        <w:tc>
          <w:tcPr>
            <w:tcW w:w="1430" w:type="pct"/>
            <w:gridSpan w:val="3"/>
            <w:tcBorders>
              <w:top w:val="single" w:sz="4" w:space="0" w:color="auto"/>
              <w:left w:val="single" w:sz="4" w:space="0" w:color="auto"/>
              <w:bottom w:val="nil"/>
              <w:right w:val="single" w:sz="4" w:space="0" w:color="000000"/>
            </w:tcBorders>
            <w:shd w:val="clear" w:color="auto" w:fill="FFFFFF"/>
            <w:noWrap/>
            <w:hideMark/>
          </w:tcPr>
          <w:p w14:paraId="15AC9F62" w14:textId="77777777" w:rsidR="00CB04CD" w:rsidRPr="00E84DBE" w:rsidRDefault="00CB04CD" w:rsidP="00C34029">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lastRenderedPageBreak/>
              <w:t>Datos Informativos</w:t>
            </w:r>
          </w:p>
        </w:tc>
        <w:tc>
          <w:tcPr>
            <w:tcW w:w="581" w:type="pct"/>
            <w:tcBorders>
              <w:top w:val="single" w:sz="4" w:space="0" w:color="auto"/>
              <w:left w:val="single" w:sz="4" w:space="0" w:color="auto"/>
              <w:bottom w:val="nil"/>
              <w:right w:val="single" w:sz="4" w:space="0" w:color="auto"/>
            </w:tcBorders>
            <w:shd w:val="clear" w:color="auto" w:fill="FFFFFF"/>
            <w:hideMark/>
          </w:tcPr>
          <w:p w14:paraId="1A6B2BC6"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single" w:sz="4" w:space="0" w:color="auto"/>
              <w:left w:val="nil"/>
              <w:bottom w:val="nil"/>
              <w:right w:val="single" w:sz="4" w:space="0" w:color="auto"/>
            </w:tcBorders>
            <w:shd w:val="clear" w:color="auto" w:fill="FFFFFF"/>
            <w:hideMark/>
          </w:tcPr>
          <w:p w14:paraId="1C7B151C"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single" w:sz="4" w:space="0" w:color="auto"/>
              <w:left w:val="nil"/>
              <w:bottom w:val="nil"/>
              <w:right w:val="single" w:sz="4" w:space="0" w:color="auto"/>
            </w:tcBorders>
            <w:shd w:val="clear" w:color="auto" w:fill="FFFFFF"/>
            <w:hideMark/>
          </w:tcPr>
          <w:p w14:paraId="38E5A645"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single" w:sz="4" w:space="0" w:color="auto"/>
              <w:left w:val="nil"/>
              <w:bottom w:val="nil"/>
              <w:right w:val="single" w:sz="4" w:space="0" w:color="auto"/>
            </w:tcBorders>
            <w:shd w:val="clear" w:color="auto" w:fill="FFFFFF"/>
            <w:hideMark/>
          </w:tcPr>
          <w:p w14:paraId="5D286966"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single" w:sz="4" w:space="0" w:color="auto"/>
              <w:left w:val="nil"/>
              <w:bottom w:val="nil"/>
              <w:right w:val="single" w:sz="4" w:space="0" w:color="auto"/>
            </w:tcBorders>
            <w:shd w:val="clear" w:color="auto" w:fill="FFFFFF"/>
            <w:hideMark/>
          </w:tcPr>
          <w:p w14:paraId="72606111"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667" w:type="pct"/>
            <w:tcBorders>
              <w:top w:val="single" w:sz="4" w:space="0" w:color="auto"/>
              <w:left w:val="nil"/>
              <w:bottom w:val="nil"/>
              <w:right w:val="single" w:sz="4" w:space="0" w:color="auto"/>
            </w:tcBorders>
            <w:shd w:val="clear" w:color="auto" w:fill="FFFFFF"/>
            <w:hideMark/>
          </w:tcPr>
          <w:p w14:paraId="7678C268" w14:textId="77777777" w:rsidR="00CB04CD" w:rsidRPr="00E84DBE" w:rsidRDefault="00CB04CD" w:rsidP="00C34029">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r>
      <w:tr w:rsidR="00CB04CD" w:rsidRPr="00E84DBE" w14:paraId="265A1FCD" w14:textId="77777777" w:rsidTr="00CB04CD">
        <w:trPr>
          <w:trHeight w:val="227"/>
        </w:trPr>
        <w:tc>
          <w:tcPr>
            <w:tcW w:w="207" w:type="pct"/>
            <w:tcBorders>
              <w:top w:val="nil"/>
              <w:left w:val="single" w:sz="4" w:space="0" w:color="auto"/>
              <w:bottom w:val="nil"/>
              <w:right w:val="nil"/>
            </w:tcBorders>
            <w:shd w:val="clear" w:color="auto" w:fill="FFFFFF"/>
            <w:noWrap/>
            <w:hideMark/>
          </w:tcPr>
          <w:p w14:paraId="1C278F05"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1.</w:t>
            </w:r>
          </w:p>
        </w:tc>
        <w:tc>
          <w:tcPr>
            <w:tcW w:w="1223" w:type="pct"/>
            <w:gridSpan w:val="2"/>
            <w:tcBorders>
              <w:top w:val="nil"/>
              <w:left w:val="nil"/>
              <w:bottom w:val="nil"/>
              <w:right w:val="single" w:sz="4" w:space="0" w:color="000000"/>
            </w:tcBorders>
            <w:hideMark/>
          </w:tcPr>
          <w:p w14:paraId="34A6834A"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Recursos de Libre Disposición</w:t>
            </w:r>
          </w:p>
        </w:tc>
        <w:tc>
          <w:tcPr>
            <w:tcW w:w="581" w:type="pct"/>
            <w:tcBorders>
              <w:top w:val="nil"/>
              <w:left w:val="single" w:sz="4" w:space="0" w:color="auto"/>
              <w:bottom w:val="nil"/>
              <w:right w:val="single" w:sz="4" w:space="0" w:color="auto"/>
            </w:tcBorders>
            <w:shd w:val="clear" w:color="auto" w:fill="FFFFFF"/>
            <w:vAlign w:val="center"/>
            <w:hideMark/>
          </w:tcPr>
          <w:p w14:paraId="73078ADE"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8,905,315,025</w:t>
            </w:r>
          </w:p>
        </w:tc>
        <w:tc>
          <w:tcPr>
            <w:tcW w:w="581" w:type="pct"/>
            <w:tcBorders>
              <w:top w:val="nil"/>
              <w:left w:val="nil"/>
              <w:bottom w:val="nil"/>
              <w:right w:val="single" w:sz="4" w:space="0" w:color="auto"/>
            </w:tcBorders>
            <w:shd w:val="clear" w:color="auto" w:fill="FFFFFF"/>
            <w:vAlign w:val="center"/>
            <w:hideMark/>
          </w:tcPr>
          <w:p w14:paraId="03675074"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10,130,905,588</w:t>
            </w:r>
          </w:p>
        </w:tc>
        <w:tc>
          <w:tcPr>
            <w:tcW w:w="581" w:type="pct"/>
            <w:tcBorders>
              <w:top w:val="nil"/>
              <w:left w:val="nil"/>
              <w:bottom w:val="nil"/>
              <w:right w:val="single" w:sz="4" w:space="0" w:color="auto"/>
            </w:tcBorders>
            <w:shd w:val="clear" w:color="auto" w:fill="FFFFFF"/>
            <w:vAlign w:val="center"/>
            <w:hideMark/>
          </w:tcPr>
          <w:p w14:paraId="2D86118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10,840,149,888</w:t>
            </w:r>
          </w:p>
        </w:tc>
        <w:tc>
          <w:tcPr>
            <w:tcW w:w="581" w:type="pct"/>
            <w:tcBorders>
              <w:top w:val="nil"/>
              <w:left w:val="nil"/>
              <w:bottom w:val="nil"/>
              <w:right w:val="single" w:sz="4" w:space="0" w:color="auto"/>
            </w:tcBorders>
            <w:shd w:val="clear" w:color="auto" w:fill="FFFFFF"/>
            <w:vAlign w:val="center"/>
            <w:hideMark/>
          </w:tcPr>
          <w:p w14:paraId="0B5B92B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11,663,735,924</w:t>
            </w:r>
          </w:p>
        </w:tc>
        <w:tc>
          <w:tcPr>
            <w:tcW w:w="581" w:type="pct"/>
            <w:tcBorders>
              <w:top w:val="nil"/>
              <w:left w:val="nil"/>
              <w:bottom w:val="nil"/>
              <w:right w:val="single" w:sz="4" w:space="0" w:color="auto"/>
            </w:tcBorders>
            <w:shd w:val="clear" w:color="auto" w:fill="FFFFFF"/>
            <w:vAlign w:val="center"/>
            <w:hideMark/>
          </w:tcPr>
          <w:p w14:paraId="5318E13B"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12,508,531,967</w:t>
            </w:r>
          </w:p>
        </w:tc>
        <w:tc>
          <w:tcPr>
            <w:tcW w:w="667" w:type="pct"/>
            <w:tcBorders>
              <w:top w:val="nil"/>
              <w:left w:val="nil"/>
              <w:bottom w:val="nil"/>
              <w:right w:val="single" w:sz="4" w:space="0" w:color="auto"/>
            </w:tcBorders>
            <w:shd w:val="clear" w:color="auto" w:fill="FFFFFF"/>
            <w:vAlign w:val="center"/>
            <w:hideMark/>
          </w:tcPr>
          <w:p w14:paraId="7C857157"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13,251,440,454</w:t>
            </w:r>
          </w:p>
        </w:tc>
      </w:tr>
      <w:tr w:rsidR="00CB04CD" w:rsidRPr="00E84DBE" w14:paraId="7D7C6ECC" w14:textId="77777777" w:rsidTr="00CB04CD">
        <w:trPr>
          <w:trHeight w:val="227"/>
        </w:trPr>
        <w:tc>
          <w:tcPr>
            <w:tcW w:w="207" w:type="pct"/>
            <w:tcBorders>
              <w:top w:val="nil"/>
              <w:left w:val="single" w:sz="4" w:space="0" w:color="auto"/>
              <w:bottom w:val="nil"/>
              <w:right w:val="nil"/>
            </w:tcBorders>
            <w:shd w:val="clear" w:color="auto" w:fill="FFFFFF"/>
            <w:noWrap/>
            <w:hideMark/>
          </w:tcPr>
          <w:p w14:paraId="6A82C56D"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2.</w:t>
            </w:r>
          </w:p>
        </w:tc>
        <w:tc>
          <w:tcPr>
            <w:tcW w:w="1223" w:type="pct"/>
            <w:gridSpan w:val="2"/>
            <w:tcBorders>
              <w:top w:val="nil"/>
              <w:left w:val="nil"/>
              <w:bottom w:val="nil"/>
              <w:right w:val="single" w:sz="4" w:space="0" w:color="000000"/>
            </w:tcBorders>
            <w:hideMark/>
          </w:tcPr>
          <w:p w14:paraId="35DCCB27" w14:textId="77777777" w:rsidR="00CB04CD" w:rsidRPr="00E84DBE" w:rsidRDefault="00CB04CD" w:rsidP="00C34029">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Transferencias Federales Etiquetadas</w:t>
            </w:r>
          </w:p>
        </w:tc>
        <w:tc>
          <w:tcPr>
            <w:tcW w:w="581" w:type="pct"/>
            <w:tcBorders>
              <w:top w:val="nil"/>
              <w:left w:val="single" w:sz="4" w:space="0" w:color="auto"/>
              <w:bottom w:val="nil"/>
              <w:right w:val="single" w:sz="4" w:space="0" w:color="auto"/>
            </w:tcBorders>
            <w:shd w:val="clear" w:color="auto" w:fill="FFFFFF"/>
            <w:vAlign w:val="center"/>
            <w:hideMark/>
          </w:tcPr>
          <w:p w14:paraId="726A67DD"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771F7B2C"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0DC54AC9"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64D2C7F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054E9C30"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shd w:val="clear" w:color="auto" w:fill="FFFFFF"/>
            <w:vAlign w:val="center"/>
            <w:hideMark/>
          </w:tcPr>
          <w:p w14:paraId="33CA932A" w14:textId="77777777" w:rsidR="00CB04CD" w:rsidRPr="00E84DBE" w:rsidRDefault="00CB04CD" w:rsidP="00C34029">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1802C023" w14:textId="77777777" w:rsidTr="00CB04CD">
        <w:trPr>
          <w:trHeight w:val="227"/>
        </w:trPr>
        <w:tc>
          <w:tcPr>
            <w:tcW w:w="207" w:type="pct"/>
            <w:tcBorders>
              <w:top w:val="nil"/>
              <w:left w:val="single" w:sz="4" w:space="0" w:color="auto"/>
              <w:bottom w:val="nil"/>
              <w:right w:val="nil"/>
            </w:tcBorders>
            <w:shd w:val="clear" w:color="auto" w:fill="FFFFFF"/>
            <w:noWrap/>
            <w:hideMark/>
          </w:tcPr>
          <w:p w14:paraId="29B37F52"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223" w:type="pct"/>
            <w:gridSpan w:val="2"/>
            <w:tcBorders>
              <w:top w:val="nil"/>
              <w:left w:val="nil"/>
              <w:bottom w:val="nil"/>
              <w:right w:val="single" w:sz="4" w:space="0" w:color="000000"/>
            </w:tcBorders>
            <w:shd w:val="clear" w:color="auto" w:fill="FFFFFF"/>
            <w:hideMark/>
          </w:tcPr>
          <w:p w14:paraId="66284654" w14:textId="77777777" w:rsidR="00CB04CD" w:rsidRPr="00E84DBE" w:rsidRDefault="00CB04CD" w:rsidP="00C34029">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Derivados de Financiamiento</w:t>
            </w:r>
            <w:r w:rsidRPr="00E84DBE">
              <w:rPr>
                <w:rFonts w:eastAsia="Times New Roman" w:cs="Arial"/>
                <w:b/>
                <w:bCs/>
                <w:sz w:val="14"/>
                <w:szCs w:val="14"/>
                <w:lang w:eastAsia="es-MX"/>
              </w:rPr>
              <w:br/>
              <w:t>(3 = 1 + 2)</w:t>
            </w:r>
          </w:p>
        </w:tc>
        <w:tc>
          <w:tcPr>
            <w:tcW w:w="581" w:type="pct"/>
            <w:tcBorders>
              <w:top w:val="nil"/>
              <w:left w:val="single" w:sz="4" w:space="0" w:color="auto"/>
              <w:bottom w:val="nil"/>
              <w:right w:val="single" w:sz="4" w:space="0" w:color="auto"/>
            </w:tcBorders>
            <w:shd w:val="clear" w:color="auto" w:fill="FFFFFF"/>
            <w:vAlign w:val="center"/>
            <w:hideMark/>
          </w:tcPr>
          <w:p w14:paraId="321EE0AE"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8,905,315,025</w:t>
            </w:r>
          </w:p>
        </w:tc>
        <w:tc>
          <w:tcPr>
            <w:tcW w:w="581" w:type="pct"/>
            <w:tcBorders>
              <w:top w:val="nil"/>
              <w:left w:val="nil"/>
              <w:bottom w:val="nil"/>
              <w:right w:val="single" w:sz="4" w:space="0" w:color="auto"/>
            </w:tcBorders>
            <w:shd w:val="clear" w:color="auto" w:fill="FFFFFF"/>
            <w:vAlign w:val="center"/>
            <w:hideMark/>
          </w:tcPr>
          <w:p w14:paraId="659E36B8"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10,130,905,588</w:t>
            </w:r>
          </w:p>
        </w:tc>
        <w:tc>
          <w:tcPr>
            <w:tcW w:w="581" w:type="pct"/>
            <w:tcBorders>
              <w:top w:val="nil"/>
              <w:left w:val="nil"/>
              <w:bottom w:val="nil"/>
              <w:right w:val="single" w:sz="4" w:space="0" w:color="auto"/>
            </w:tcBorders>
            <w:shd w:val="clear" w:color="auto" w:fill="FFFFFF"/>
            <w:vAlign w:val="center"/>
            <w:hideMark/>
          </w:tcPr>
          <w:p w14:paraId="01A623F0"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10,840,149,888</w:t>
            </w:r>
          </w:p>
        </w:tc>
        <w:tc>
          <w:tcPr>
            <w:tcW w:w="581" w:type="pct"/>
            <w:tcBorders>
              <w:top w:val="nil"/>
              <w:left w:val="nil"/>
              <w:bottom w:val="nil"/>
              <w:right w:val="single" w:sz="4" w:space="0" w:color="auto"/>
            </w:tcBorders>
            <w:shd w:val="clear" w:color="auto" w:fill="FFFFFF"/>
            <w:vAlign w:val="center"/>
            <w:hideMark/>
          </w:tcPr>
          <w:p w14:paraId="5DBD61A9"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11,663,735,924</w:t>
            </w:r>
          </w:p>
        </w:tc>
        <w:tc>
          <w:tcPr>
            <w:tcW w:w="581" w:type="pct"/>
            <w:tcBorders>
              <w:top w:val="nil"/>
              <w:left w:val="nil"/>
              <w:bottom w:val="nil"/>
              <w:right w:val="single" w:sz="4" w:space="0" w:color="auto"/>
            </w:tcBorders>
            <w:shd w:val="clear" w:color="auto" w:fill="FFFFFF"/>
            <w:vAlign w:val="center"/>
            <w:hideMark/>
          </w:tcPr>
          <w:p w14:paraId="4558886E"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12,508,531,967</w:t>
            </w:r>
          </w:p>
        </w:tc>
        <w:tc>
          <w:tcPr>
            <w:tcW w:w="667" w:type="pct"/>
            <w:tcBorders>
              <w:top w:val="nil"/>
              <w:left w:val="nil"/>
              <w:bottom w:val="nil"/>
              <w:right w:val="single" w:sz="4" w:space="0" w:color="auto"/>
            </w:tcBorders>
            <w:shd w:val="clear" w:color="auto" w:fill="FFFFFF"/>
            <w:vAlign w:val="center"/>
            <w:hideMark/>
          </w:tcPr>
          <w:p w14:paraId="7076C8D0" w14:textId="77777777" w:rsidR="00CB04CD" w:rsidRPr="00E84DBE" w:rsidRDefault="00CB04CD" w:rsidP="00C34029">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13,251,440,454</w:t>
            </w:r>
          </w:p>
        </w:tc>
      </w:tr>
      <w:tr w:rsidR="00CB04CD" w:rsidRPr="00E84DBE" w14:paraId="427DE718" w14:textId="77777777" w:rsidTr="00CB04CD">
        <w:trPr>
          <w:trHeight w:val="227"/>
        </w:trPr>
        <w:tc>
          <w:tcPr>
            <w:tcW w:w="207" w:type="pct"/>
            <w:tcBorders>
              <w:top w:val="nil"/>
              <w:left w:val="single" w:sz="4" w:space="0" w:color="auto"/>
              <w:bottom w:val="single" w:sz="4" w:space="0" w:color="auto"/>
              <w:right w:val="nil"/>
            </w:tcBorders>
            <w:shd w:val="clear" w:color="auto" w:fill="FFFFFF"/>
            <w:noWrap/>
            <w:hideMark/>
          </w:tcPr>
          <w:p w14:paraId="3C91B9D5"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46" w:type="pct"/>
            <w:tcBorders>
              <w:top w:val="nil"/>
              <w:left w:val="nil"/>
              <w:bottom w:val="single" w:sz="4" w:space="0" w:color="auto"/>
              <w:right w:val="nil"/>
            </w:tcBorders>
            <w:shd w:val="clear" w:color="auto" w:fill="FFFFFF"/>
            <w:noWrap/>
            <w:hideMark/>
          </w:tcPr>
          <w:p w14:paraId="3D930648"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077" w:type="pct"/>
            <w:tcBorders>
              <w:top w:val="nil"/>
              <w:left w:val="nil"/>
              <w:bottom w:val="single" w:sz="4" w:space="0" w:color="auto"/>
              <w:right w:val="single" w:sz="4" w:space="0" w:color="auto"/>
            </w:tcBorders>
            <w:shd w:val="clear" w:color="auto" w:fill="FFFFFF"/>
            <w:hideMark/>
          </w:tcPr>
          <w:p w14:paraId="4C64D332"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single" w:sz="4" w:space="0" w:color="auto"/>
              <w:bottom w:val="single" w:sz="4" w:space="0" w:color="auto"/>
              <w:right w:val="single" w:sz="4" w:space="0" w:color="auto"/>
            </w:tcBorders>
            <w:shd w:val="clear" w:color="auto" w:fill="FFFFFF"/>
            <w:hideMark/>
          </w:tcPr>
          <w:p w14:paraId="5306F33D"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4CAE4F57"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562690D3"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208ECECA"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219FD096"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67" w:type="pct"/>
            <w:tcBorders>
              <w:top w:val="nil"/>
              <w:left w:val="nil"/>
              <w:bottom w:val="single" w:sz="4" w:space="0" w:color="auto"/>
              <w:right w:val="single" w:sz="4" w:space="0" w:color="auto"/>
            </w:tcBorders>
            <w:shd w:val="clear" w:color="auto" w:fill="FFFFFF"/>
            <w:hideMark/>
          </w:tcPr>
          <w:p w14:paraId="0B11BC9F"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r>
      <w:tr w:rsidR="00CB04CD" w:rsidRPr="00E84DBE" w14:paraId="61FA0DCB" w14:textId="77777777" w:rsidTr="00CB04CD">
        <w:trPr>
          <w:trHeight w:val="227"/>
        </w:trPr>
        <w:tc>
          <w:tcPr>
            <w:tcW w:w="5000" w:type="pct"/>
            <w:gridSpan w:val="9"/>
            <w:shd w:val="clear" w:color="auto" w:fill="FFFFFF"/>
            <w:noWrap/>
            <w:hideMark/>
          </w:tcPr>
          <w:p w14:paraId="73175A8F" w14:textId="77777777" w:rsidR="00CB04CD" w:rsidRPr="00E84DBE" w:rsidRDefault="00CB04CD" w:rsidP="00C34029">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*Incluye Pasivos que se generen como resultado de erogaciones que se devenguen en el ejercicio fiscal pero que queden pendiente de liquidar al cierre del mismo.</w:t>
            </w:r>
          </w:p>
        </w:tc>
      </w:tr>
    </w:tbl>
    <w:p w14:paraId="4C34A29D" w14:textId="09FDE577" w:rsidR="00217065" w:rsidRPr="00BF1D6B" w:rsidRDefault="00217065" w:rsidP="00074AD8">
      <w:pPr>
        <w:rPr>
          <w:color w:val="BFBFBF" w:themeColor="background1" w:themeShade="BF"/>
          <w:sz w:val="12"/>
          <w:szCs w:val="12"/>
        </w:rPr>
      </w:pPr>
    </w:p>
    <w:p w14:paraId="674089AB" w14:textId="4BB86B3B" w:rsidR="000513EC" w:rsidRPr="00625DF1" w:rsidRDefault="00FC2D5B" w:rsidP="00074AD8">
      <w:pPr>
        <w:rPr>
          <w:sz w:val="22"/>
          <w:szCs w:val="22"/>
        </w:rPr>
      </w:pPr>
      <w:r w:rsidRPr="00625DF1">
        <w:rPr>
          <w:sz w:val="22"/>
          <w:szCs w:val="22"/>
        </w:rPr>
        <w:t>Con lo anterior, l</w:t>
      </w:r>
      <w:r w:rsidR="000513EC" w:rsidRPr="00625DF1">
        <w:rPr>
          <w:sz w:val="22"/>
          <w:szCs w:val="22"/>
        </w:rPr>
        <w:t xml:space="preserve">a presente Iniciativa es congruente con el eje transversal “Finanzas Públicas Sanas” del </w:t>
      </w:r>
      <w:r w:rsidR="000513EC" w:rsidRPr="00625DF1">
        <w:rPr>
          <w:i/>
          <w:iCs/>
          <w:sz w:val="22"/>
          <w:szCs w:val="22"/>
        </w:rPr>
        <w:t>Plan de Desarrollo del Estado de México 2017-2023</w:t>
      </w:r>
      <w:r w:rsidR="000513EC" w:rsidRPr="00625DF1">
        <w:rPr>
          <w:sz w:val="22"/>
          <w:szCs w:val="22"/>
        </w:rPr>
        <w:t>, al implementar políticas públicas para fortalecer la recaudación y así capitalizar las acciones que el Gobierno del Estado de México ha emprendido para la mejora del marco regulatorio.</w:t>
      </w:r>
    </w:p>
    <w:p w14:paraId="31EE48DA" w14:textId="77777777" w:rsidR="006677EA" w:rsidRPr="00625DF1" w:rsidRDefault="006677EA" w:rsidP="00074AD8">
      <w:pPr>
        <w:rPr>
          <w:color w:val="BFBFBF" w:themeColor="background1" w:themeShade="BF"/>
          <w:sz w:val="22"/>
          <w:szCs w:val="22"/>
        </w:rPr>
      </w:pPr>
    </w:p>
    <w:p w14:paraId="2BBF83D7" w14:textId="2A174E54" w:rsidR="00EC001D" w:rsidRPr="00625DF1" w:rsidRDefault="00EC001D" w:rsidP="00EC001D">
      <w:pPr>
        <w:rPr>
          <w:sz w:val="22"/>
          <w:szCs w:val="22"/>
        </w:rPr>
      </w:pPr>
      <w:r w:rsidRPr="00625DF1">
        <w:rPr>
          <w:sz w:val="22"/>
          <w:szCs w:val="22"/>
        </w:rPr>
        <w:t xml:space="preserve">Para el </w:t>
      </w:r>
      <w:r w:rsidR="001B6633" w:rsidRPr="00625DF1">
        <w:rPr>
          <w:sz w:val="22"/>
          <w:szCs w:val="22"/>
        </w:rPr>
        <w:t>E</w:t>
      </w:r>
      <w:r w:rsidRPr="00625DF1">
        <w:rPr>
          <w:sz w:val="22"/>
          <w:szCs w:val="22"/>
        </w:rPr>
        <w:t xml:space="preserve">jercicio </w:t>
      </w:r>
      <w:r w:rsidR="001B6633" w:rsidRPr="00625DF1">
        <w:rPr>
          <w:sz w:val="22"/>
          <w:szCs w:val="22"/>
        </w:rPr>
        <w:t>F</w:t>
      </w:r>
      <w:r w:rsidRPr="00625DF1">
        <w:rPr>
          <w:sz w:val="22"/>
          <w:szCs w:val="22"/>
        </w:rPr>
        <w:t xml:space="preserve">iscal </w:t>
      </w:r>
      <w:r w:rsidR="00640134" w:rsidRPr="00625DF1">
        <w:rPr>
          <w:sz w:val="22"/>
          <w:szCs w:val="22"/>
        </w:rPr>
        <w:t>2023</w:t>
      </w:r>
      <w:r w:rsidRPr="00625DF1">
        <w:rPr>
          <w:sz w:val="22"/>
          <w:szCs w:val="22"/>
        </w:rPr>
        <w:t xml:space="preserve"> se estiman ingresos estatales por </w:t>
      </w:r>
      <w:r w:rsidR="00CB04CD" w:rsidRPr="00625DF1">
        <w:rPr>
          <w:sz w:val="22"/>
          <w:szCs w:val="22"/>
        </w:rPr>
        <w:t>356</w:t>
      </w:r>
      <w:r w:rsidR="00403E4A" w:rsidRPr="00625DF1">
        <w:rPr>
          <w:sz w:val="22"/>
          <w:szCs w:val="22"/>
        </w:rPr>
        <w:t xml:space="preserve"> mil </w:t>
      </w:r>
      <w:r w:rsidR="00CB04CD" w:rsidRPr="00625DF1">
        <w:rPr>
          <w:sz w:val="22"/>
          <w:szCs w:val="22"/>
        </w:rPr>
        <w:t xml:space="preserve">816.9 millones de pesos, </w:t>
      </w:r>
      <w:r w:rsidR="002F05D6" w:rsidRPr="00625DF1">
        <w:rPr>
          <w:sz w:val="22"/>
          <w:szCs w:val="22"/>
        </w:rPr>
        <w:t>2.6</w:t>
      </w:r>
      <w:r w:rsidR="00CB04CD" w:rsidRPr="00625DF1">
        <w:rPr>
          <w:sz w:val="22"/>
          <w:szCs w:val="22"/>
        </w:rPr>
        <w:t xml:space="preserve"> por ciento mayor</w:t>
      </w:r>
      <w:r w:rsidRPr="00625DF1">
        <w:rPr>
          <w:sz w:val="22"/>
          <w:szCs w:val="22"/>
        </w:rPr>
        <w:t xml:space="preserve"> </w:t>
      </w:r>
      <w:r w:rsidR="00562791" w:rsidRPr="00625DF1">
        <w:rPr>
          <w:sz w:val="22"/>
          <w:szCs w:val="22"/>
        </w:rPr>
        <w:t>en términos reales</w:t>
      </w:r>
      <w:r w:rsidR="00022186" w:rsidRPr="00625DF1">
        <w:rPr>
          <w:sz w:val="22"/>
          <w:szCs w:val="22"/>
        </w:rPr>
        <w:t xml:space="preserve"> </w:t>
      </w:r>
      <w:r w:rsidRPr="00625DF1">
        <w:rPr>
          <w:sz w:val="22"/>
          <w:szCs w:val="22"/>
        </w:rPr>
        <w:t xml:space="preserve">en relación con la Ley de Ingresos del Estado de México para el </w:t>
      </w:r>
      <w:r w:rsidR="002B1DE9" w:rsidRPr="00625DF1">
        <w:rPr>
          <w:sz w:val="22"/>
          <w:szCs w:val="22"/>
        </w:rPr>
        <w:t>E</w:t>
      </w:r>
      <w:r w:rsidRPr="00625DF1">
        <w:rPr>
          <w:sz w:val="22"/>
          <w:szCs w:val="22"/>
        </w:rPr>
        <w:t xml:space="preserve">jercicio </w:t>
      </w:r>
      <w:r w:rsidR="002B1DE9" w:rsidRPr="00625DF1">
        <w:rPr>
          <w:sz w:val="22"/>
          <w:szCs w:val="22"/>
        </w:rPr>
        <w:t>F</w:t>
      </w:r>
      <w:r w:rsidRPr="00625DF1">
        <w:rPr>
          <w:sz w:val="22"/>
          <w:szCs w:val="22"/>
        </w:rPr>
        <w:t xml:space="preserve">iscal de </w:t>
      </w:r>
      <w:r w:rsidR="00640134" w:rsidRPr="00625DF1">
        <w:rPr>
          <w:sz w:val="22"/>
          <w:szCs w:val="22"/>
        </w:rPr>
        <w:t>2022</w:t>
      </w:r>
      <w:r w:rsidRPr="00625DF1">
        <w:rPr>
          <w:sz w:val="22"/>
          <w:szCs w:val="22"/>
        </w:rPr>
        <w:t>. La</w:t>
      </w:r>
      <w:r w:rsidR="00DB1BC3" w:rsidRPr="00625DF1">
        <w:rPr>
          <w:sz w:val="22"/>
          <w:szCs w:val="22"/>
        </w:rPr>
        <w:t xml:space="preserve"> propuesta</w:t>
      </w:r>
      <w:r w:rsidRPr="00625DF1">
        <w:rPr>
          <w:sz w:val="22"/>
          <w:szCs w:val="22"/>
        </w:rPr>
        <w:t xml:space="preserve"> está alineada al Proyecto de Presupuesto de Egresos del Gobierno del Estado de México para el </w:t>
      </w:r>
      <w:r w:rsidR="002B1DE9" w:rsidRPr="00625DF1">
        <w:rPr>
          <w:sz w:val="22"/>
          <w:szCs w:val="22"/>
        </w:rPr>
        <w:t>E</w:t>
      </w:r>
      <w:r w:rsidRPr="00625DF1">
        <w:rPr>
          <w:sz w:val="22"/>
          <w:szCs w:val="22"/>
        </w:rPr>
        <w:t xml:space="preserve">jercicio </w:t>
      </w:r>
      <w:r w:rsidR="002B1DE9" w:rsidRPr="00625DF1">
        <w:rPr>
          <w:sz w:val="22"/>
          <w:szCs w:val="22"/>
        </w:rPr>
        <w:t>F</w:t>
      </w:r>
      <w:r w:rsidRPr="00625DF1">
        <w:rPr>
          <w:sz w:val="22"/>
          <w:szCs w:val="22"/>
        </w:rPr>
        <w:t xml:space="preserve">iscal </w:t>
      </w:r>
      <w:r w:rsidR="00640134" w:rsidRPr="00625DF1">
        <w:rPr>
          <w:sz w:val="22"/>
          <w:szCs w:val="22"/>
        </w:rPr>
        <w:t>2023</w:t>
      </w:r>
      <w:r w:rsidRPr="00625DF1">
        <w:rPr>
          <w:sz w:val="22"/>
          <w:szCs w:val="22"/>
        </w:rPr>
        <w:t>.</w:t>
      </w:r>
    </w:p>
    <w:p w14:paraId="12383398" w14:textId="77777777" w:rsidR="006677EA" w:rsidRPr="00625DF1" w:rsidRDefault="006677EA" w:rsidP="00074AD8">
      <w:pPr>
        <w:rPr>
          <w:color w:val="BFBFBF" w:themeColor="background1" w:themeShade="BF"/>
          <w:sz w:val="22"/>
          <w:szCs w:val="22"/>
        </w:rPr>
      </w:pPr>
    </w:p>
    <w:p w14:paraId="1120012C" w14:textId="77777777" w:rsidR="000513EC" w:rsidRPr="00625DF1" w:rsidRDefault="000513EC" w:rsidP="00074AD8">
      <w:pPr>
        <w:rPr>
          <w:sz w:val="22"/>
          <w:szCs w:val="22"/>
        </w:rPr>
      </w:pPr>
      <w:r w:rsidRPr="00625DF1">
        <w:rPr>
          <w:sz w:val="22"/>
          <w:szCs w:val="22"/>
        </w:rPr>
        <w:t>El monto estimado de los ingresos se compone por:</w:t>
      </w:r>
    </w:p>
    <w:p w14:paraId="13D9BC3F" w14:textId="77777777" w:rsidR="006677EA" w:rsidRPr="00625DF1" w:rsidRDefault="006677EA" w:rsidP="00074AD8">
      <w:pPr>
        <w:rPr>
          <w:sz w:val="22"/>
          <w:szCs w:val="22"/>
        </w:rPr>
      </w:pPr>
    </w:p>
    <w:p w14:paraId="23176666" w14:textId="0FD3A93D" w:rsidR="000513EC" w:rsidRPr="00625DF1" w:rsidRDefault="000513EC" w:rsidP="00074AD8">
      <w:pPr>
        <w:pStyle w:val="Prrafodelista"/>
        <w:numPr>
          <w:ilvl w:val="0"/>
          <w:numId w:val="2"/>
        </w:numPr>
        <w:rPr>
          <w:sz w:val="22"/>
          <w:szCs w:val="22"/>
        </w:rPr>
      </w:pPr>
      <w:r w:rsidRPr="00625DF1">
        <w:rPr>
          <w:sz w:val="22"/>
          <w:szCs w:val="22"/>
        </w:rPr>
        <w:t>Impuestos</w:t>
      </w:r>
    </w:p>
    <w:p w14:paraId="53C022A8" w14:textId="5A6FD88E" w:rsidR="000513EC" w:rsidRPr="00625DF1" w:rsidRDefault="000513EC" w:rsidP="00074AD8">
      <w:pPr>
        <w:pStyle w:val="Prrafodelista"/>
        <w:numPr>
          <w:ilvl w:val="0"/>
          <w:numId w:val="2"/>
        </w:numPr>
        <w:rPr>
          <w:sz w:val="22"/>
          <w:szCs w:val="22"/>
        </w:rPr>
      </w:pPr>
      <w:r w:rsidRPr="00625DF1">
        <w:rPr>
          <w:sz w:val="22"/>
          <w:szCs w:val="22"/>
        </w:rPr>
        <w:t>Cuotas y Aportaciones de Seguridad Social</w:t>
      </w:r>
    </w:p>
    <w:p w14:paraId="0CFE6B70" w14:textId="47E5EADC" w:rsidR="000513EC" w:rsidRPr="00625DF1" w:rsidRDefault="000513EC" w:rsidP="00074AD8">
      <w:pPr>
        <w:pStyle w:val="Prrafodelista"/>
        <w:numPr>
          <w:ilvl w:val="0"/>
          <w:numId w:val="2"/>
        </w:numPr>
        <w:rPr>
          <w:sz w:val="22"/>
          <w:szCs w:val="22"/>
        </w:rPr>
      </w:pPr>
      <w:r w:rsidRPr="00625DF1">
        <w:rPr>
          <w:sz w:val="22"/>
          <w:szCs w:val="22"/>
        </w:rPr>
        <w:t>Contribuciones de Mejoras</w:t>
      </w:r>
    </w:p>
    <w:p w14:paraId="176C6A74" w14:textId="461040FB" w:rsidR="000513EC" w:rsidRPr="00625DF1" w:rsidRDefault="000513EC" w:rsidP="00074AD8">
      <w:pPr>
        <w:pStyle w:val="Prrafodelista"/>
        <w:numPr>
          <w:ilvl w:val="0"/>
          <w:numId w:val="2"/>
        </w:numPr>
        <w:rPr>
          <w:sz w:val="22"/>
          <w:szCs w:val="22"/>
        </w:rPr>
      </w:pPr>
      <w:r w:rsidRPr="00625DF1">
        <w:rPr>
          <w:sz w:val="22"/>
          <w:szCs w:val="22"/>
        </w:rPr>
        <w:t>Derechos</w:t>
      </w:r>
    </w:p>
    <w:p w14:paraId="353C918C" w14:textId="0361B9B9" w:rsidR="000513EC" w:rsidRPr="00625DF1" w:rsidRDefault="000513EC" w:rsidP="00074AD8">
      <w:pPr>
        <w:pStyle w:val="Prrafodelista"/>
        <w:numPr>
          <w:ilvl w:val="0"/>
          <w:numId w:val="2"/>
        </w:numPr>
        <w:rPr>
          <w:sz w:val="22"/>
          <w:szCs w:val="22"/>
        </w:rPr>
      </w:pPr>
      <w:r w:rsidRPr="00625DF1">
        <w:rPr>
          <w:sz w:val="22"/>
          <w:szCs w:val="22"/>
        </w:rPr>
        <w:t>Producto</w:t>
      </w:r>
      <w:r w:rsidR="00000BC4" w:rsidRPr="00625DF1">
        <w:rPr>
          <w:sz w:val="22"/>
          <w:szCs w:val="22"/>
        </w:rPr>
        <w:t>s</w:t>
      </w:r>
    </w:p>
    <w:p w14:paraId="6FA8848B" w14:textId="253D3EB7" w:rsidR="000513EC" w:rsidRPr="00625DF1" w:rsidRDefault="000513EC" w:rsidP="00074AD8">
      <w:pPr>
        <w:pStyle w:val="Prrafodelista"/>
        <w:numPr>
          <w:ilvl w:val="0"/>
          <w:numId w:val="2"/>
        </w:numPr>
        <w:rPr>
          <w:sz w:val="22"/>
          <w:szCs w:val="22"/>
        </w:rPr>
      </w:pPr>
      <w:r w:rsidRPr="00625DF1">
        <w:rPr>
          <w:sz w:val="22"/>
          <w:szCs w:val="22"/>
        </w:rPr>
        <w:t>Aprovechamientos</w:t>
      </w:r>
    </w:p>
    <w:p w14:paraId="2EF1BCC9" w14:textId="2BC0F9D6" w:rsidR="000513EC" w:rsidRPr="00625DF1" w:rsidRDefault="000513EC" w:rsidP="00074AD8">
      <w:pPr>
        <w:pStyle w:val="Prrafodelista"/>
        <w:numPr>
          <w:ilvl w:val="0"/>
          <w:numId w:val="2"/>
        </w:numPr>
        <w:rPr>
          <w:sz w:val="22"/>
          <w:szCs w:val="22"/>
        </w:rPr>
      </w:pPr>
      <w:r w:rsidRPr="00625DF1">
        <w:rPr>
          <w:sz w:val="22"/>
          <w:szCs w:val="22"/>
        </w:rPr>
        <w:t xml:space="preserve">Ingresos </w:t>
      </w:r>
      <w:r w:rsidR="00BD5DB2" w:rsidRPr="00625DF1">
        <w:rPr>
          <w:sz w:val="22"/>
          <w:szCs w:val="22"/>
        </w:rPr>
        <w:t>por Venta de Bienes, Prestación de Servicios y Otros Ingresos</w:t>
      </w:r>
    </w:p>
    <w:p w14:paraId="0AE44144" w14:textId="2AEEF1DA" w:rsidR="000513EC" w:rsidRPr="00625DF1" w:rsidRDefault="000513EC" w:rsidP="00074AD8">
      <w:pPr>
        <w:pStyle w:val="Prrafodelista"/>
        <w:numPr>
          <w:ilvl w:val="0"/>
          <w:numId w:val="2"/>
        </w:numPr>
        <w:rPr>
          <w:sz w:val="22"/>
          <w:szCs w:val="22"/>
        </w:rPr>
      </w:pPr>
      <w:r w:rsidRPr="00625DF1">
        <w:rPr>
          <w:sz w:val="22"/>
          <w:szCs w:val="22"/>
        </w:rPr>
        <w:t>Participaciones, Aportaciones, Convenios, Incentivos derivados de la Colaboración Fiscal y Fondos Distintos de Aportaciones</w:t>
      </w:r>
    </w:p>
    <w:p w14:paraId="71A883CC" w14:textId="10AF2A1A" w:rsidR="000513EC" w:rsidRPr="00625DF1" w:rsidRDefault="000513EC" w:rsidP="00074AD8">
      <w:pPr>
        <w:pStyle w:val="Prrafodelista"/>
        <w:numPr>
          <w:ilvl w:val="0"/>
          <w:numId w:val="2"/>
        </w:numPr>
        <w:rPr>
          <w:sz w:val="22"/>
          <w:szCs w:val="22"/>
        </w:rPr>
      </w:pPr>
      <w:r w:rsidRPr="00625DF1">
        <w:rPr>
          <w:sz w:val="22"/>
          <w:szCs w:val="22"/>
        </w:rPr>
        <w:t xml:space="preserve">Transferencias, Asignaciones, Subsidios y Subvenciones, </w:t>
      </w:r>
      <w:r w:rsidR="00AD6C9B" w:rsidRPr="00625DF1">
        <w:rPr>
          <w:sz w:val="22"/>
          <w:szCs w:val="22"/>
        </w:rPr>
        <w:t>y</w:t>
      </w:r>
      <w:r w:rsidRPr="00625DF1">
        <w:rPr>
          <w:sz w:val="22"/>
          <w:szCs w:val="22"/>
        </w:rPr>
        <w:t xml:space="preserve"> Pensiones y Jubilaciones</w:t>
      </w:r>
    </w:p>
    <w:p w14:paraId="68D52EDB" w14:textId="249F5C93" w:rsidR="000513EC" w:rsidRPr="00625DF1" w:rsidRDefault="007A22BA" w:rsidP="00C96394">
      <w:pPr>
        <w:pStyle w:val="Prrafodelista"/>
        <w:numPr>
          <w:ilvl w:val="0"/>
          <w:numId w:val="35"/>
        </w:numPr>
        <w:rPr>
          <w:sz w:val="22"/>
          <w:szCs w:val="22"/>
        </w:rPr>
      </w:pPr>
      <w:r w:rsidRPr="00625DF1">
        <w:rPr>
          <w:sz w:val="22"/>
          <w:szCs w:val="22"/>
        </w:rPr>
        <w:t>Ingresos Derivados de Financiamientos</w:t>
      </w:r>
    </w:p>
    <w:p w14:paraId="58CB2043" w14:textId="188EA68A" w:rsidR="00C96394" w:rsidRPr="00BF1D6B" w:rsidRDefault="00C96394" w:rsidP="00E235B1">
      <w:pPr>
        <w:pStyle w:val="Prrafodelista"/>
        <w:spacing w:after="0"/>
        <w:rPr>
          <w:sz w:val="12"/>
          <w:szCs w:val="12"/>
        </w:rPr>
      </w:pPr>
    </w:p>
    <w:p w14:paraId="47BF8877" w14:textId="7B004551"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Impuestos</w:t>
      </w:r>
    </w:p>
    <w:p w14:paraId="121E52D3" w14:textId="77777777" w:rsidR="00DC21C5" w:rsidRPr="00625DF1" w:rsidRDefault="00DC21C5" w:rsidP="00074AD8">
      <w:pPr>
        <w:rPr>
          <w:sz w:val="22"/>
          <w:szCs w:val="22"/>
        </w:rPr>
      </w:pPr>
    </w:p>
    <w:p w14:paraId="37C99DCF" w14:textId="784E868A" w:rsidR="007702DD" w:rsidRPr="00625DF1" w:rsidRDefault="000513EC" w:rsidP="00074AD8">
      <w:pPr>
        <w:rPr>
          <w:sz w:val="22"/>
          <w:szCs w:val="22"/>
        </w:rPr>
      </w:pPr>
      <w:r w:rsidRPr="00625DF1">
        <w:rPr>
          <w:sz w:val="22"/>
          <w:szCs w:val="22"/>
        </w:rPr>
        <w:t>La Iniciativa contempla los</w:t>
      </w:r>
      <w:r w:rsidR="007702DD" w:rsidRPr="00625DF1">
        <w:rPr>
          <w:sz w:val="22"/>
          <w:szCs w:val="22"/>
        </w:rPr>
        <w:t xml:space="preserve"> siguientes Impuestos:</w:t>
      </w:r>
    </w:p>
    <w:p w14:paraId="778C507E" w14:textId="77777777" w:rsidR="007702DD" w:rsidRPr="00BF1D6B" w:rsidRDefault="007702DD" w:rsidP="00074AD8">
      <w:pPr>
        <w:rPr>
          <w:sz w:val="12"/>
          <w:szCs w:val="12"/>
        </w:rPr>
      </w:pPr>
    </w:p>
    <w:p w14:paraId="6DB61F49" w14:textId="086505F2" w:rsidR="007702DD" w:rsidRPr="00625DF1" w:rsidRDefault="007702DD" w:rsidP="007702DD">
      <w:pPr>
        <w:pStyle w:val="Prrafodelista"/>
        <w:numPr>
          <w:ilvl w:val="0"/>
          <w:numId w:val="1"/>
        </w:numPr>
        <w:rPr>
          <w:sz w:val="22"/>
          <w:szCs w:val="22"/>
        </w:rPr>
      </w:pPr>
      <w:r w:rsidRPr="00625DF1">
        <w:rPr>
          <w:sz w:val="22"/>
          <w:szCs w:val="22"/>
        </w:rPr>
        <w:t>Sobre Tenencia o Uso de Vehículos</w:t>
      </w:r>
    </w:p>
    <w:p w14:paraId="2DE3BDE5" w14:textId="6F33C562" w:rsidR="007702DD" w:rsidRPr="00625DF1" w:rsidRDefault="007702DD" w:rsidP="007702DD">
      <w:pPr>
        <w:pStyle w:val="Prrafodelista"/>
        <w:numPr>
          <w:ilvl w:val="0"/>
          <w:numId w:val="1"/>
        </w:numPr>
        <w:rPr>
          <w:sz w:val="22"/>
          <w:szCs w:val="22"/>
        </w:rPr>
      </w:pPr>
      <w:r w:rsidRPr="00625DF1">
        <w:rPr>
          <w:sz w:val="22"/>
          <w:szCs w:val="22"/>
        </w:rPr>
        <w:t>Sobre la Adquisición de Vehículos Automotores Usados</w:t>
      </w:r>
    </w:p>
    <w:p w14:paraId="683A4C4F" w14:textId="30282B9A" w:rsidR="007702DD" w:rsidRPr="00625DF1" w:rsidRDefault="007702DD" w:rsidP="007702DD">
      <w:pPr>
        <w:pStyle w:val="Prrafodelista"/>
        <w:numPr>
          <w:ilvl w:val="0"/>
          <w:numId w:val="1"/>
        </w:numPr>
        <w:rPr>
          <w:sz w:val="22"/>
          <w:szCs w:val="22"/>
        </w:rPr>
      </w:pPr>
      <w:r w:rsidRPr="00625DF1">
        <w:rPr>
          <w:sz w:val="22"/>
          <w:szCs w:val="22"/>
        </w:rPr>
        <w:t>Sobre la Prestación de Servicios de Hospedaje</w:t>
      </w:r>
    </w:p>
    <w:p w14:paraId="218ABA08" w14:textId="101D751C" w:rsidR="007702DD" w:rsidRPr="00625DF1" w:rsidRDefault="007702DD" w:rsidP="007702DD">
      <w:pPr>
        <w:pStyle w:val="Prrafodelista"/>
        <w:numPr>
          <w:ilvl w:val="0"/>
          <w:numId w:val="1"/>
        </w:numPr>
        <w:rPr>
          <w:sz w:val="22"/>
          <w:szCs w:val="22"/>
        </w:rPr>
      </w:pPr>
      <w:r w:rsidRPr="00625DF1">
        <w:rPr>
          <w:sz w:val="22"/>
          <w:szCs w:val="22"/>
        </w:rPr>
        <w:lastRenderedPageBreak/>
        <w:t>A la Venta Final de Bebidas con Contenido Alcohólico</w:t>
      </w:r>
    </w:p>
    <w:p w14:paraId="3E6A4161" w14:textId="2604C63E" w:rsidR="007702DD" w:rsidRPr="00625DF1" w:rsidRDefault="007702DD" w:rsidP="007702DD">
      <w:pPr>
        <w:pStyle w:val="Prrafodelista"/>
        <w:numPr>
          <w:ilvl w:val="0"/>
          <w:numId w:val="1"/>
        </w:numPr>
        <w:rPr>
          <w:sz w:val="22"/>
          <w:szCs w:val="22"/>
        </w:rPr>
      </w:pPr>
      <w:r w:rsidRPr="00625DF1">
        <w:rPr>
          <w:sz w:val="22"/>
          <w:szCs w:val="22"/>
        </w:rPr>
        <w:t>A Casas de Empeño</w:t>
      </w:r>
    </w:p>
    <w:p w14:paraId="49472B7F" w14:textId="5522758F" w:rsidR="007702DD" w:rsidRPr="00625DF1" w:rsidRDefault="007702DD" w:rsidP="007702DD">
      <w:pPr>
        <w:pStyle w:val="Prrafodelista"/>
        <w:numPr>
          <w:ilvl w:val="0"/>
          <w:numId w:val="1"/>
        </w:numPr>
        <w:rPr>
          <w:sz w:val="22"/>
          <w:szCs w:val="22"/>
        </w:rPr>
      </w:pPr>
      <w:r w:rsidRPr="00625DF1">
        <w:rPr>
          <w:sz w:val="22"/>
          <w:szCs w:val="22"/>
        </w:rPr>
        <w:t>S</w:t>
      </w:r>
      <w:r w:rsidR="000513EC" w:rsidRPr="00625DF1">
        <w:rPr>
          <w:sz w:val="22"/>
          <w:szCs w:val="22"/>
        </w:rPr>
        <w:t>obre Erogaciones por Remuneraciones al Trabajo Personal</w:t>
      </w:r>
    </w:p>
    <w:p w14:paraId="658F239E" w14:textId="54508D03" w:rsidR="007702DD" w:rsidRPr="00625DF1" w:rsidRDefault="007702DD" w:rsidP="007702DD">
      <w:pPr>
        <w:pStyle w:val="Prrafodelista"/>
        <w:numPr>
          <w:ilvl w:val="0"/>
          <w:numId w:val="1"/>
        </w:numPr>
        <w:rPr>
          <w:sz w:val="22"/>
          <w:szCs w:val="22"/>
        </w:rPr>
      </w:pPr>
      <w:r w:rsidRPr="00625DF1">
        <w:rPr>
          <w:sz w:val="22"/>
          <w:szCs w:val="22"/>
        </w:rPr>
        <w:t>Por la Emisión de Gases Contaminantes a la Atm</w:t>
      </w:r>
      <w:r w:rsidR="00DB1BC3" w:rsidRPr="00625DF1">
        <w:rPr>
          <w:sz w:val="22"/>
          <w:szCs w:val="22"/>
        </w:rPr>
        <w:t>ó</w:t>
      </w:r>
      <w:r w:rsidRPr="00625DF1">
        <w:rPr>
          <w:sz w:val="22"/>
          <w:szCs w:val="22"/>
        </w:rPr>
        <w:t>sfera</w:t>
      </w:r>
    </w:p>
    <w:p w14:paraId="5CA7DAB8" w14:textId="577E50A6" w:rsidR="007702DD" w:rsidRPr="00625DF1" w:rsidRDefault="007702DD" w:rsidP="007702DD">
      <w:pPr>
        <w:pStyle w:val="Prrafodelista"/>
        <w:numPr>
          <w:ilvl w:val="0"/>
          <w:numId w:val="1"/>
        </w:numPr>
        <w:rPr>
          <w:sz w:val="22"/>
          <w:szCs w:val="22"/>
        </w:rPr>
      </w:pPr>
      <w:r w:rsidRPr="00625DF1">
        <w:rPr>
          <w:sz w:val="22"/>
          <w:szCs w:val="22"/>
        </w:rPr>
        <w:t>S</w:t>
      </w:r>
      <w:r w:rsidR="000513EC" w:rsidRPr="00625DF1">
        <w:rPr>
          <w:sz w:val="22"/>
          <w:szCs w:val="22"/>
        </w:rPr>
        <w:t>obre Loterías, Rifas, Sorteos, Concursos y Juegos Permitidos con Cruce de Apuestas</w:t>
      </w:r>
    </w:p>
    <w:p w14:paraId="0A258213" w14:textId="5F1AC6C1" w:rsidR="00CB04CD" w:rsidRPr="00625DF1" w:rsidRDefault="00CB04CD" w:rsidP="00CB04CD">
      <w:pPr>
        <w:rPr>
          <w:sz w:val="22"/>
          <w:szCs w:val="22"/>
        </w:rPr>
      </w:pPr>
      <w:r w:rsidRPr="00625DF1">
        <w:rPr>
          <w:sz w:val="22"/>
          <w:szCs w:val="22"/>
        </w:rPr>
        <w:t xml:space="preserve">Para efectuar la estimación de ingresos por concepto de Impuestos, se consideró el comportamiento histórico de los ingresos observado en los últimos cinco </w:t>
      </w:r>
      <w:r w:rsidR="00833CFB" w:rsidRPr="00625DF1">
        <w:rPr>
          <w:sz w:val="22"/>
          <w:szCs w:val="22"/>
        </w:rPr>
        <w:t>E</w:t>
      </w:r>
      <w:r w:rsidRPr="00625DF1">
        <w:rPr>
          <w:sz w:val="22"/>
          <w:szCs w:val="22"/>
        </w:rPr>
        <w:t>jercicios</w:t>
      </w:r>
      <w:r w:rsidR="00DB1BC3" w:rsidRPr="00625DF1">
        <w:rPr>
          <w:sz w:val="22"/>
          <w:szCs w:val="22"/>
        </w:rPr>
        <w:t xml:space="preserve"> </w:t>
      </w:r>
      <w:r w:rsidR="00833CFB" w:rsidRPr="00625DF1">
        <w:rPr>
          <w:sz w:val="22"/>
          <w:szCs w:val="22"/>
        </w:rPr>
        <w:t>F</w:t>
      </w:r>
      <w:r w:rsidR="00DB1BC3" w:rsidRPr="00625DF1">
        <w:rPr>
          <w:sz w:val="22"/>
          <w:szCs w:val="22"/>
        </w:rPr>
        <w:t>iscales</w:t>
      </w:r>
      <w:r w:rsidR="009320BA" w:rsidRPr="00625DF1">
        <w:rPr>
          <w:sz w:val="22"/>
          <w:szCs w:val="22"/>
        </w:rPr>
        <w:t>,</w:t>
      </w:r>
      <w:r w:rsidRPr="00625DF1">
        <w:rPr>
          <w:sz w:val="22"/>
          <w:szCs w:val="22"/>
        </w:rPr>
        <w:t xml:space="preserve"> así como el pronóstico de ingresos para el cierre del </w:t>
      </w:r>
      <w:r w:rsidR="00DB1BC3" w:rsidRPr="00625DF1">
        <w:rPr>
          <w:sz w:val="22"/>
          <w:szCs w:val="22"/>
        </w:rPr>
        <w:t>E</w:t>
      </w:r>
      <w:r w:rsidRPr="00625DF1">
        <w:rPr>
          <w:sz w:val="22"/>
          <w:szCs w:val="22"/>
        </w:rPr>
        <w:t xml:space="preserve">jercicio </w:t>
      </w:r>
      <w:r w:rsidR="00DB1BC3" w:rsidRPr="00625DF1">
        <w:rPr>
          <w:sz w:val="22"/>
          <w:szCs w:val="22"/>
        </w:rPr>
        <w:t>F</w:t>
      </w:r>
      <w:r w:rsidR="00833CFB" w:rsidRPr="00625DF1">
        <w:rPr>
          <w:sz w:val="22"/>
          <w:szCs w:val="22"/>
        </w:rPr>
        <w:t xml:space="preserve">iscal </w:t>
      </w:r>
      <w:r w:rsidRPr="00625DF1">
        <w:rPr>
          <w:sz w:val="22"/>
          <w:szCs w:val="22"/>
        </w:rPr>
        <w:t>2022; además de tomar como base la inflación y crecimiento económico real del país.</w:t>
      </w:r>
    </w:p>
    <w:p w14:paraId="60C8FD6E" w14:textId="77777777" w:rsidR="00486F30" w:rsidRPr="00BF1D6B" w:rsidRDefault="00486F30" w:rsidP="00074AD8">
      <w:pPr>
        <w:rPr>
          <w:sz w:val="12"/>
          <w:szCs w:val="12"/>
        </w:rPr>
      </w:pPr>
    </w:p>
    <w:p w14:paraId="19AF59B4" w14:textId="54703BE5"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Cuotas y Aportaciones de Seguridad Social</w:t>
      </w:r>
    </w:p>
    <w:p w14:paraId="08F4CB90" w14:textId="77777777" w:rsidR="00DC21C5" w:rsidRPr="00BF1D6B" w:rsidRDefault="00DC21C5" w:rsidP="00EC001D">
      <w:pPr>
        <w:rPr>
          <w:sz w:val="12"/>
          <w:szCs w:val="12"/>
        </w:rPr>
      </w:pPr>
    </w:p>
    <w:p w14:paraId="02359EAE" w14:textId="31735FFA" w:rsidR="00CB04CD" w:rsidRPr="00625DF1" w:rsidRDefault="00CB04CD" w:rsidP="00CB04CD">
      <w:pPr>
        <w:rPr>
          <w:sz w:val="22"/>
          <w:szCs w:val="22"/>
        </w:rPr>
      </w:pPr>
      <w:r w:rsidRPr="00625DF1">
        <w:rPr>
          <w:sz w:val="22"/>
          <w:szCs w:val="22"/>
        </w:rPr>
        <w:t xml:space="preserve">El monto por cuotas de Instituciones Públicas y aportaciones de los servidores públicos se estimó con base en la Ley de Seguridad Social para los Servidores Públicos del Estado de México y Municipios, partiendo de una proyección realizada con base en las determinaciones históricas del Gobierno del Estado de México, los Municipios y Organismos Auxiliares. </w:t>
      </w:r>
    </w:p>
    <w:p w14:paraId="70F05C74" w14:textId="77777777" w:rsidR="00833CFB" w:rsidRPr="00BF1D6B" w:rsidRDefault="00833CFB" w:rsidP="00CB04CD">
      <w:pPr>
        <w:rPr>
          <w:sz w:val="12"/>
          <w:szCs w:val="12"/>
        </w:rPr>
      </w:pPr>
    </w:p>
    <w:p w14:paraId="5E591487" w14:textId="70B6A99D"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Contribuciones de Mejoras</w:t>
      </w:r>
    </w:p>
    <w:p w14:paraId="5A39E1CE" w14:textId="77777777" w:rsidR="00DC21C5" w:rsidRPr="00BF1D6B" w:rsidRDefault="00DC21C5" w:rsidP="00EC001D">
      <w:pPr>
        <w:rPr>
          <w:sz w:val="12"/>
          <w:szCs w:val="12"/>
        </w:rPr>
      </w:pPr>
    </w:p>
    <w:p w14:paraId="7F5E1A71" w14:textId="1B0899C5" w:rsidR="00CB04CD" w:rsidRPr="00625DF1" w:rsidRDefault="00CB04CD" w:rsidP="00CB04CD">
      <w:pPr>
        <w:rPr>
          <w:sz w:val="22"/>
          <w:szCs w:val="22"/>
        </w:rPr>
      </w:pPr>
      <w:r w:rsidRPr="00625DF1">
        <w:rPr>
          <w:sz w:val="22"/>
          <w:szCs w:val="22"/>
        </w:rPr>
        <w:t xml:space="preserve">Para determinar los ingresos por concepto de contribuciones o aportaciones de mejora por obras públicas, se utilizó el factor de crecimiento económico real e inflación esperados para el </w:t>
      </w:r>
      <w:r w:rsidR="00723AC6" w:rsidRPr="00625DF1">
        <w:rPr>
          <w:sz w:val="22"/>
          <w:szCs w:val="22"/>
        </w:rPr>
        <w:t>E</w:t>
      </w:r>
      <w:r w:rsidRPr="00625DF1">
        <w:rPr>
          <w:sz w:val="22"/>
          <w:szCs w:val="22"/>
        </w:rPr>
        <w:t xml:space="preserve">jercicio </w:t>
      </w:r>
      <w:r w:rsidR="00723AC6" w:rsidRPr="00625DF1">
        <w:rPr>
          <w:sz w:val="22"/>
          <w:szCs w:val="22"/>
        </w:rPr>
        <w:t>F</w:t>
      </w:r>
      <w:r w:rsidRPr="00625DF1">
        <w:rPr>
          <w:sz w:val="22"/>
          <w:szCs w:val="22"/>
        </w:rPr>
        <w:t xml:space="preserve">iscal 2023 así como el comportamiento histórico de los ingresos observado en los últimos cinco </w:t>
      </w:r>
      <w:r w:rsidR="00446B7C" w:rsidRPr="00625DF1">
        <w:rPr>
          <w:sz w:val="22"/>
          <w:szCs w:val="22"/>
        </w:rPr>
        <w:t>E</w:t>
      </w:r>
      <w:r w:rsidRPr="00625DF1">
        <w:rPr>
          <w:sz w:val="22"/>
          <w:szCs w:val="22"/>
        </w:rPr>
        <w:t xml:space="preserve">jercicios </w:t>
      </w:r>
      <w:r w:rsidR="00446B7C" w:rsidRPr="00625DF1">
        <w:rPr>
          <w:sz w:val="22"/>
          <w:szCs w:val="22"/>
        </w:rPr>
        <w:t>F</w:t>
      </w:r>
      <w:r w:rsidR="00723AC6" w:rsidRPr="00625DF1">
        <w:rPr>
          <w:sz w:val="22"/>
          <w:szCs w:val="22"/>
        </w:rPr>
        <w:t>iscale</w:t>
      </w:r>
      <w:r w:rsidR="00446B7C" w:rsidRPr="00625DF1">
        <w:rPr>
          <w:sz w:val="22"/>
          <w:szCs w:val="22"/>
        </w:rPr>
        <w:t>s</w:t>
      </w:r>
      <w:r w:rsidR="00723AC6" w:rsidRPr="00625DF1">
        <w:rPr>
          <w:sz w:val="22"/>
          <w:szCs w:val="22"/>
        </w:rPr>
        <w:t xml:space="preserve"> </w:t>
      </w:r>
      <w:r w:rsidRPr="00625DF1">
        <w:rPr>
          <w:sz w:val="22"/>
          <w:szCs w:val="22"/>
        </w:rPr>
        <w:t xml:space="preserve">y el pronóstico de ingresos para el cierre del </w:t>
      </w:r>
      <w:r w:rsidR="00723AC6" w:rsidRPr="00625DF1">
        <w:rPr>
          <w:sz w:val="22"/>
          <w:szCs w:val="22"/>
        </w:rPr>
        <w:t>E</w:t>
      </w:r>
      <w:r w:rsidRPr="00625DF1">
        <w:rPr>
          <w:sz w:val="22"/>
          <w:szCs w:val="22"/>
        </w:rPr>
        <w:t xml:space="preserve">jercicio </w:t>
      </w:r>
      <w:r w:rsidR="00723AC6" w:rsidRPr="00625DF1">
        <w:rPr>
          <w:sz w:val="22"/>
          <w:szCs w:val="22"/>
        </w:rPr>
        <w:t>F</w:t>
      </w:r>
      <w:r w:rsidRPr="00625DF1">
        <w:rPr>
          <w:sz w:val="22"/>
          <w:szCs w:val="22"/>
        </w:rPr>
        <w:t xml:space="preserve">iscal de 2022. </w:t>
      </w:r>
    </w:p>
    <w:p w14:paraId="4E2478AB" w14:textId="77777777" w:rsidR="00336F2C" w:rsidRPr="00BF1D6B" w:rsidRDefault="00336F2C" w:rsidP="00074AD8">
      <w:pPr>
        <w:rPr>
          <w:sz w:val="12"/>
          <w:szCs w:val="12"/>
        </w:rPr>
      </w:pPr>
    </w:p>
    <w:p w14:paraId="44C97CC5" w14:textId="2A95DBAE"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Derechos</w:t>
      </w:r>
    </w:p>
    <w:p w14:paraId="165526D0" w14:textId="77777777" w:rsidR="00DC21C5" w:rsidRPr="00BF1D6B" w:rsidRDefault="00DC21C5" w:rsidP="00EC001D">
      <w:pPr>
        <w:rPr>
          <w:sz w:val="12"/>
          <w:szCs w:val="12"/>
        </w:rPr>
      </w:pPr>
    </w:p>
    <w:p w14:paraId="50EA9AC8" w14:textId="1B6F3B9D" w:rsidR="00CB04CD" w:rsidRPr="00625DF1" w:rsidRDefault="00CB04CD" w:rsidP="00CB04CD">
      <w:pPr>
        <w:rPr>
          <w:sz w:val="22"/>
          <w:szCs w:val="22"/>
        </w:rPr>
      </w:pPr>
      <w:r w:rsidRPr="00625DF1">
        <w:rPr>
          <w:sz w:val="22"/>
          <w:szCs w:val="22"/>
        </w:rPr>
        <w:t xml:space="preserve">Para el caso de los ingresos por concepto de los Derechos que se pagan al Estado por aquellos bienes y servicios que proporciona en el ejercicio de sus funciones de derecho público, estos se proyectaron con base en las transacciones realizadas en los más recientes </w:t>
      </w:r>
      <w:r w:rsidR="00CD690F" w:rsidRPr="00625DF1">
        <w:rPr>
          <w:sz w:val="22"/>
          <w:szCs w:val="22"/>
        </w:rPr>
        <w:t>E</w:t>
      </w:r>
      <w:r w:rsidRPr="00625DF1">
        <w:rPr>
          <w:sz w:val="22"/>
          <w:szCs w:val="22"/>
        </w:rPr>
        <w:t xml:space="preserve">jercicios </w:t>
      </w:r>
      <w:r w:rsidR="00CD690F" w:rsidRPr="00625DF1">
        <w:rPr>
          <w:sz w:val="22"/>
          <w:szCs w:val="22"/>
        </w:rPr>
        <w:t>F</w:t>
      </w:r>
      <w:r w:rsidRPr="00625DF1">
        <w:rPr>
          <w:sz w:val="22"/>
          <w:szCs w:val="22"/>
        </w:rPr>
        <w:t xml:space="preserve">iscales, los montos determinados en la Ley de Ingresos del Estado de México para el </w:t>
      </w:r>
      <w:r w:rsidR="003A691E" w:rsidRPr="00625DF1">
        <w:rPr>
          <w:sz w:val="22"/>
          <w:szCs w:val="22"/>
        </w:rPr>
        <w:t xml:space="preserve">Ejercicio Fiscal </w:t>
      </w:r>
      <w:r w:rsidRPr="00625DF1">
        <w:rPr>
          <w:sz w:val="22"/>
          <w:szCs w:val="22"/>
        </w:rPr>
        <w:t xml:space="preserve">2022, el cierre esperado del </w:t>
      </w:r>
      <w:r w:rsidR="00723AC6" w:rsidRPr="00625DF1">
        <w:rPr>
          <w:sz w:val="22"/>
          <w:szCs w:val="22"/>
        </w:rPr>
        <w:t>E</w:t>
      </w:r>
      <w:r w:rsidRPr="00625DF1">
        <w:rPr>
          <w:sz w:val="22"/>
          <w:szCs w:val="22"/>
        </w:rPr>
        <w:t xml:space="preserve">jercicio </w:t>
      </w:r>
      <w:r w:rsidR="00723AC6" w:rsidRPr="00625DF1">
        <w:rPr>
          <w:sz w:val="22"/>
          <w:szCs w:val="22"/>
        </w:rPr>
        <w:t>F</w:t>
      </w:r>
      <w:r w:rsidRPr="00625DF1">
        <w:rPr>
          <w:sz w:val="22"/>
          <w:szCs w:val="22"/>
        </w:rPr>
        <w:t>iscal de 2022 y considerando un crecimiento derivado de la actualización anual de los mismos conforme al factor propuesto en la presente Iniciativa de 1.060.</w:t>
      </w:r>
    </w:p>
    <w:p w14:paraId="56CC16E1" w14:textId="77777777" w:rsidR="00486F30" w:rsidRPr="00BF1D6B" w:rsidRDefault="00486F30" w:rsidP="00074AD8">
      <w:pPr>
        <w:rPr>
          <w:sz w:val="12"/>
          <w:szCs w:val="12"/>
        </w:rPr>
      </w:pPr>
    </w:p>
    <w:p w14:paraId="6E969B4D" w14:textId="52196E90"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Productos</w:t>
      </w:r>
    </w:p>
    <w:p w14:paraId="3E98F574" w14:textId="77777777" w:rsidR="00DC21C5" w:rsidRPr="00BF1D6B" w:rsidRDefault="00DC21C5" w:rsidP="00EC001D">
      <w:pPr>
        <w:rPr>
          <w:sz w:val="12"/>
          <w:szCs w:val="12"/>
        </w:rPr>
      </w:pPr>
    </w:p>
    <w:p w14:paraId="4B0A1CD1" w14:textId="247D8B77" w:rsidR="00CB04CD" w:rsidRPr="00625DF1" w:rsidRDefault="00CB04CD" w:rsidP="00CB04CD">
      <w:pPr>
        <w:rPr>
          <w:sz w:val="22"/>
          <w:szCs w:val="22"/>
        </w:rPr>
      </w:pPr>
      <w:r w:rsidRPr="00625DF1">
        <w:rPr>
          <w:sz w:val="22"/>
          <w:szCs w:val="22"/>
        </w:rPr>
        <w:t xml:space="preserve">La estimación del monto de los recursos por concepto de Productos consideró el comportamiento histórico de los ingresos observado en los años recientes, el pronóstico de ingresos para el cierre del </w:t>
      </w:r>
      <w:r w:rsidR="00723AC6" w:rsidRPr="00625DF1">
        <w:rPr>
          <w:sz w:val="22"/>
          <w:szCs w:val="22"/>
        </w:rPr>
        <w:t>E</w:t>
      </w:r>
      <w:r w:rsidRPr="00625DF1">
        <w:rPr>
          <w:sz w:val="22"/>
          <w:szCs w:val="22"/>
        </w:rPr>
        <w:t xml:space="preserve">jercicio </w:t>
      </w:r>
      <w:r w:rsidR="00723AC6" w:rsidRPr="00625DF1">
        <w:rPr>
          <w:sz w:val="22"/>
          <w:szCs w:val="22"/>
        </w:rPr>
        <w:t>F</w:t>
      </w:r>
      <w:r w:rsidRPr="00625DF1">
        <w:rPr>
          <w:sz w:val="22"/>
          <w:szCs w:val="22"/>
        </w:rPr>
        <w:t xml:space="preserve">iscal de 2022 así como el factor de la inflación esperada y el crecimiento económico real para el </w:t>
      </w:r>
      <w:r w:rsidR="00723AC6" w:rsidRPr="00625DF1">
        <w:rPr>
          <w:sz w:val="22"/>
          <w:szCs w:val="22"/>
        </w:rPr>
        <w:t>E</w:t>
      </w:r>
      <w:r w:rsidRPr="00625DF1">
        <w:rPr>
          <w:sz w:val="22"/>
          <w:szCs w:val="22"/>
        </w:rPr>
        <w:t xml:space="preserve">jercicio </w:t>
      </w:r>
      <w:r w:rsidR="00723AC6" w:rsidRPr="00625DF1">
        <w:rPr>
          <w:sz w:val="22"/>
          <w:szCs w:val="22"/>
        </w:rPr>
        <w:t>F</w:t>
      </w:r>
      <w:r w:rsidRPr="00625DF1">
        <w:rPr>
          <w:sz w:val="22"/>
          <w:szCs w:val="22"/>
        </w:rPr>
        <w:t xml:space="preserve">iscal 2023 congruentes con los Criterios Generales de Política Económica aplicables. </w:t>
      </w:r>
    </w:p>
    <w:p w14:paraId="73497C47" w14:textId="77777777" w:rsidR="00486F30" w:rsidRPr="00625DF1" w:rsidRDefault="00486F30" w:rsidP="00074AD8">
      <w:pPr>
        <w:rPr>
          <w:sz w:val="22"/>
          <w:szCs w:val="22"/>
        </w:rPr>
      </w:pPr>
    </w:p>
    <w:p w14:paraId="653193AC" w14:textId="34B367AD"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lastRenderedPageBreak/>
        <w:t>Aprovechamientos</w:t>
      </w:r>
    </w:p>
    <w:p w14:paraId="5D4D45D1" w14:textId="77777777" w:rsidR="00DC21C5" w:rsidRPr="00625DF1" w:rsidRDefault="00DC21C5" w:rsidP="00074AD8">
      <w:pPr>
        <w:rPr>
          <w:sz w:val="22"/>
          <w:szCs w:val="22"/>
        </w:rPr>
      </w:pPr>
    </w:p>
    <w:p w14:paraId="3C379089" w14:textId="6B177CAC" w:rsidR="00CB04CD" w:rsidRPr="00625DF1" w:rsidRDefault="00CB04CD" w:rsidP="00CB04CD">
      <w:pPr>
        <w:rPr>
          <w:sz w:val="22"/>
          <w:szCs w:val="22"/>
        </w:rPr>
      </w:pPr>
      <w:r w:rsidRPr="00625DF1">
        <w:rPr>
          <w:sz w:val="22"/>
          <w:szCs w:val="22"/>
        </w:rPr>
        <w:t>El rubro de Aprovechamientos</w:t>
      </w:r>
      <w:r w:rsidR="00723AC6" w:rsidRPr="00625DF1">
        <w:rPr>
          <w:sz w:val="22"/>
          <w:szCs w:val="22"/>
        </w:rPr>
        <w:t xml:space="preserve"> </w:t>
      </w:r>
      <w:r w:rsidRPr="00625DF1">
        <w:rPr>
          <w:sz w:val="22"/>
          <w:szCs w:val="22"/>
        </w:rPr>
        <w:t>considera los ingresos que percibe el Estado por el ejercicio de funciones de derecho público distintos de las contribuciones, los ingresos derivados de financiamientos, los ingresos de los organismos descentralizados y empresas de participación estatal, así como los ingresos relacionados con la actividad propia del Estado, como lo son las multas administrativas, los reintegros y los resarcimientos, entre otros.</w:t>
      </w:r>
    </w:p>
    <w:p w14:paraId="3AB0A6E5" w14:textId="77777777" w:rsidR="00CB04CD" w:rsidRPr="00625DF1" w:rsidRDefault="00CB04CD" w:rsidP="00CB04CD">
      <w:pPr>
        <w:rPr>
          <w:sz w:val="22"/>
          <w:szCs w:val="22"/>
        </w:rPr>
      </w:pPr>
    </w:p>
    <w:p w14:paraId="25FF71D7" w14:textId="510AEF98" w:rsidR="00CB04CD" w:rsidRPr="00625DF1" w:rsidRDefault="00CB04CD" w:rsidP="00CB04CD">
      <w:pPr>
        <w:rPr>
          <w:sz w:val="22"/>
          <w:szCs w:val="22"/>
        </w:rPr>
      </w:pPr>
      <w:r w:rsidRPr="00625DF1">
        <w:rPr>
          <w:sz w:val="22"/>
          <w:szCs w:val="22"/>
        </w:rPr>
        <w:t xml:space="preserve">Para estimar los recursos por Aprovechamientos, se tomó como base el comportamiento estacional histórico de los ingresos de los </w:t>
      </w:r>
      <w:r w:rsidR="00CD690F" w:rsidRPr="00625DF1">
        <w:rPr>
          <w:sz w:val="22"/>
          <w:szCs w:val="22"/>
        </w:rPr>
        <w:t>E</w:t>
      </w:r>
      <w:r w:rsidRPr="00625DF1">
        <w:rPr>
          <w:sz w:val="22"/>
          <w:szCs w:val="22"/>
        </w:rPr>
        <w:t xml:space="preserve">jercicios </w:t>
      </w:r>
      <w:r w:rsidR="00CD690F" w:rsidRPr="00625DF1">
        <w:rPr>
          <w:sz w:val="22"/>
          <w:szCs w:val="22"/>
        </w:rPr>
        <w:t>F</w:t>
      </w:r>
      <w:r w:rsidRPr="00625DF1">
        <w:rPr>
          <w:sz w:val="22"/>
          <w:szCs w:val="22"/>
        </w:rPr>
        <w:t xml:space="preserve">iscales más recientes, los importes determinados para los </w:t>
      </w:r>
      <w:r w:rsidR="00723AC6" w:rsidRPr="00625DF1">
        <w:rPr>
          <w:sz w:val="22"/>
          <w:szCs w:val="22"/>
        </w:rPr>
        <w:t>A</w:t>
      </w:r>
      <w:r w:rsidRPr="00625DF1">
        <w:rPr>
          <w:sz w:val="22"/>
          <w:szCs w:val="22"/>
        </w:rPr>
        <w:t xml:space="preserve">provechamientos en la Ley de Ingresos del Estado de México del </w:t>
      </w:r>
      <w:r w:rsidR="00723AC6" w:rsidRPr="00625DF1">
        <w:rPr>
          <w:sz w:val="22"/>
          <w:szCs w:val="22"/>
        </w:rPr>
        <w:t>E</w:t>
      </w:r>
      <w:r w:rsidRPr="00625DF1">
        <w:rPr>
          <w:sz w:val="22"/>
          <w:szCs w:val="22"/>
        </w:rPr>
        <w:t>jercicio</w:t>
      </w:r>
      <w:r w:rsidR="00723AC6" w:rsidRPr="00625DF1">
        <w:rPr>
          <w:sz w:val="22"/>
          <w:szCs w:val="22"/>
        </w:rPr>
        <w:t xml:space="preserve"> Fiscal</w:t>
      </w:r>
      <w:r w:rsidRPr="00625DF1">
        <w:rPr>
          <w:sz w:val="22"/>
          <w:szCs w:val="22"/>
        </w:rPr>
        <w:t xml:space="preserve"> inmediato anterior y el pronóstico de ingresos para el cierre del </w:t>
      </w:r>
      <w:r w:rsidR="00723AC6" w:rsidRPr="00625DF1">
        <w:rPr>
          <w:sz w:val="22"/>
          <w:szCs w:val="22"/>
        </w:rPr>
        <w:t>E</w:t>
      </w:r>
      <w:r w:rsidRPr="00625DF1">
        <w:rPr>
          <w:sz w:val="22"/>
          <w:szCs w:val="22"/>
        </w:rPr>
        <w:t xml:space="preserve">jercicio </w:t>
      </w:r>
      <w:r w:rsidR="00723AC6" w:rsidRPr="00625DF1">
        <w:rPr>
          <w:sz w:val="22"/>
          <w:szCs w:val="22"/>
        </w:rPr>
        <w:t>F</w:t>
      </w:r>
      <w:r w:rsidRPr="00625DF1">
        <w:rPr>
          <w:sz w:val="22"/>
          <w:szCs w:val="22"/>
        </w:rPr>
        <w:t xml:space="preserve">iscal 2022. </w:t>
      </w:r>
    </w:p>
    <w:p w14:paraId="079214B0" w14:textId="77777777" w:rsidR="00486F30" w:rsidRPr="00625DF1" w:rsidRDefault="00486F30" w:rsidP="00074AD8">
      <w:pPr>
        <w:rPr>
          <w:sz w:val="22"/>
          <w:szCs w:val="22"/>
        </w:rPr>
      </w:pPr>
    </w:p>
    <w:p w14:paraId="0A305A90" w14:textId="619D17C3" w:rsidR="000513EC" w:rsidRPr="00625DF1" w:rsidRDefault="00BD5DB2"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Ingresos por Venta de Bienes, Prestación de Servicios y Otros Ingresos</w:t>
      </w:r>
    </w:p>
    <w:p w14:paraId="7C0F09BF" w14:textId="77777777" w:rsidR="00486F30" w:rsidRPr="00625DF1" w:rsidRDefault="00486F30" w:rsidP="00074AD8">
      <w:pPr>
        <w:rPr>
          <w:sz w:val="22"/>
          <w:szCs w:val="22"/>
        </w:rPr>
      </w:pPr>
    </w:p>
    <w:p w14:paraId="53D00666" w14:textId="7E9F2C27" w:rsidR="00CB04CD" w:rsidRPr="00625DF1" w:rsidRDefault="00CB04CD" w:rsidP="00CB04CD">
      <w:pPr>
        <w:rPr>
          <w:sz w:val="22"/>
          <w:szCs w:val="22"/>
        </w:rPr>
      </w:pPr>
      <w:r w:rsidRPr="00625DF1">
        <w:rPr>
          <w:sz w:val="22"/>
          <w:szCs w:val="22"/>
        </w:rPr>
        <w:t>Este rubro se integra por los ingresos propios obtenidos por el Instituto de Seguridad Social del Estado de México y Municipios; por las entidades de la administración pública estatal y paraestatal, por los poderes Legislativo y Judicial y por los órganos autónomos estatales, por sus actividades de producción, comercialización o prestación de servicios, así como otros ingresos</w:t>
      </w:r>
      <w:r w:rsidR="00723AC6" w:rsidRPr="00625DF1">
        <w:rPr>
          <w:sz w:val="22"/>
          <w:szCs w:val="22"/>
        </w:rPr>
        <w:t xml:space="preserve"> </w:t>
      </w:r>
      <w:r w:rsidRPr="00625DF1">
        <w:rPr>
          <w:sz w:val="22"/>
          <w:szCs w:val="22"/>
        </w:rPr>
        <w:t>por sus actividades diversas no inherentes a su operación, que generen recursos.</w:t>
      </w:r>
    </w:p>
    <w:p w14:paraId="6E9254F0" w14:textId="77777777" w:rsidR="00CB04CD" w:rsidRPr="00625DF1" w:rsidRDefault="00CB04CD" w:rsidP="00CB04CD">
      <w:pPr>
        <w:rPr>
          <w:sz w:val="22"/>
          <w:szCs w:val="22"/>
        </w:rPr>
      </w:pPr>
      <w:r w:rsidRPr="00625DF1">
        <w:rPr>
          <w:sz w:val="22"/>
          <w:szCs w:val="22"/>
        </w:rPr>
        <w:t xml:space="preserve"> </w:t>
      </w:r>
    </w:p>
    <w:p w14:paraId="7ED16BE0" w14:textId="5893C41B" w:rsidR="00CB04CD" w:rsidRPr="00625DF1" w:rsidRDefault="00CB04CD" w:rsidP="00CB04CD">
      <w:pPr>
        <w:rPr>
          <w:sz w:val="22"/>
          <w:szCs w:val="22"/>
        </w:rPr>
      </w:pPr>
      <w:r w:rsidRPr="00625DF1">
        <w:rPr>
          <w:sz w:val="22"/>
          <w:szCs w:val="22"/>
        </w:rPr>
        <w:t xml:space="preserve">Para el caso de los ingresos propios del Instituto de Seguridad Social del Estado de México y Municipios y de las entidades de la administración pública paraestatal, la estimación contempla información proporcionada por cada </w:t>
      </w:r>
      <w:r w:rsidR="00723AC6" w:rsidRPr="00625DF1">
        <w:rPr>
          <w:sz w:val="22"/>
          <w:szCs w:val="22"/>
        </w:rPr>
        <w:t>E</w:t>
      </w:r>
      <w:r w:rsidRPr="00625DF1">
        <w:rPr>
          <w:sz w:val="22"/>
          <w:szCs w:val="22"/>
        </w:rPr>
        <w:t xml:space="preserve">ntidad </w:t>
      </w:r>
      <w:r w:rsidR="00723AC6" w:rsidRPr="00625DF1">
        <w:rPr>
          <w:sz w:val="22"/>
          <w:szCs w:val="22"/>
        </w:rPr>
        <w:t>P</w:t>
      </w:r>
      <w:r w:rsidRPr="00625DF1">
        <w:rPr>
          <w:sz w:val="22"/>
          <w:szCs w:val="22"/>
        </w:rPr>
        <w:t xml:space="preserve">ública para establecer proyecciones de acuerdo con sus necesidades. </w:t>
      </w:r>
    </w:p>
    <w:p w14:paraId="6F681E19" w14:textId="77777777" w:rsidR="00486F30" w:rsidRPr="00625DF1" w:rsidRDefault="00486F30" w:rsidP="00074AD8">
      <w:pPr>
        <w:rPr>
          <w:sz w:val="22"/>
          <w:szCs w:val="22"/>
        </w:rPr>
      </w:pPr>
    </w:p>
    <w:p w14:paraId="0857884A" w14:textId="62A56B5B"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Participaciones, Aportaciones, Convenios, Incentivos derivados de la Colaboración Fiscal y Fondos Distintos de Aportaciones</w:t>
      </w:r>
    </w:p>
    <w:p w14:paraId="2114453E" w14:textId="77777777" w:rsidR="00486F30" w:rsidRPr="00625DF1" w:rsidRDefault="00486F30" w:rsidP="00074AD8">
      <w:pPr>
        <w:rPr>
          <w:sz w:val="22"/>
          <w:szCs w:val="22"/>
        </w:rPr>
      </w:pPr>
    </w:p>
    <w:p w14:paraId="63D79DE0" w14:textId="477797E3" w:rsidR="00CB04CD" w:rsidRPr="00625DF1" w:rsidRDefault="00CB04CD" w:rsidP="00CB04CD">
      <w:pPr>
        <w:rPr>
          <w:sz w:val="22"/>
          <w:szCs w:val="22"/>
        </w:rPr>
      </w:pPr>
      <w:r w:rsidRPr="00625DF1">
        <w:rPr>
          <w:sz w:val="22"/>
          <w:szCs w:val="22"/>
        </w:rPr>
        <w:t xml:space="preserve">Para emitir una estimación de dichos ingresos se tomaron en cuenta los siguientes elementos: los Criterios Generales de Política Económica, la Recaudación Federal Participable del artículo 1 de la Ley de Ingresos de la Federación; los datos establecidos en los anexos analíticos del Proyecto de Presupuesto de Egresos de la Federación, y las fórmulas de distribución señaladas en la Ley de Coordinación Fiscal para algunos de los fondos que integran este rubro, todos aplicables para el </w:t>
      </w:r>
      <w:r w:rsidR="00ED0AA0" w:rsidRPr="00625DF1">
        <w:rPr>
          <w:sz w:val="22"/>
          <w:szCs w:val="22"/>
        </w:rPr>
        <w:t>E</w:t>
      </w:r>
      <w:r w:rsidRPr="00625DF1">
        <w:rPr>
          <w:sz w:val="22"/>
          <w:szCs w:val="22"/>
        </w:rPr>
        <w:t xml:space="preserve">jercicio </w:t>
      </w:r>
      <w:r w:rsidR="00ED0AA0" w:rsidRPr="00625DF1">
        <w:rPr>
          <w:sz w:val="22"/>
          <w:szCs w:val="22"/>
        </w:rPr>
        <w:t>F</w:t>
      </w:r>
      <w:r w:rsidRPr="00625DF1">
        <w:rPr>
          <w:sz w:val="22"/>
          <w:szCs w:val="22"/>
        </w:rPr>
        <w:t xml:space="preserve">iscal 2023. Respecto a la estimación de los Incentivos Derivados de la Colaboración Fiscal, se consideraron los datos esperados para el cierre del </w:t>
      </w:r>
      <w:r w:rsidR="00CD690F" w:rsidRPr="00625DF1">
        <w:rPr>
          <w:sz w:val="22"/>
          <w:szCs w:val="22"/>
        </w:rPr>
        <w:t>E</w:t>
      </w:r>
      <w:r w:rsidRPr="00625DF1">
        <w:rPr>
          <w:sz w:val="22"/>
          <w:szCs w:val="22"/>
        </w:rPr>
        <w:t xml:space="preserve">jercicio </w:t>
      </w:r>
      <w:r w:rsidR="00CD690F" w:rsidRPr="00625DF1">
        <w:rPr>
          <w:sz w:val="22"/>
          <w:szCs w:val="22"/>
        </w:rPr>
        <w:t>F</w:t>
      </w:r>
      <w:r w:rsidRPr="00625DF1">
        <w:rPr>
          <w:sz w:val="22"/>
          <w:szCs w:val="22"/>
        </w:rPr>
        <w:t xml:space="preserve">iscal 2022, los pronósticos esperados de inflación y crecimiento económico para 2023, así como lo establecido en el Convenio de Colaboración Administrativa en Materia Fiscal Federal celebrado entre la Secretaría de Hacienda y Crédito Público y el Gobierno del Estado de México. De manera particular, se </w:t>
      </w:r>
      <w:r w:rsidRPr="00625DF1">
        <w:rPr>
          <w:sz w:val="22"/>
          <w:szCs w:val="22"/>
        </w:rPr>
        <w:lastRenderedPageBreak/>
        <w:t xml:space="preserve">observó a lo establecido en el artículo 5 de la Ley de Disciplina Financiera de las Entidades Federativas y los Municipios el cual indica que las estimaciones de participaciones y </w:t>
      </w:r>
      <w:r w:rsidR="009B5CE3" w:rsidRPr="00625DF1">
        <w:rPr>
          <w:sz w:val="22"/>
          <w:szCs w:val="22"/>
        </w:rPr>
        <w:t>t</w:t>
      </w:r>
      <w:r w:rsidRPr="00625DF1">
        <w:rPr>
          <w:sz w:val="22"/>
          <w:szCs w:val="22"/>
        </w:rPr>
        <w:t xml:space="preserve">ransferencias federales etiquetadas que se incluyan no deberán exceder a las previstas en la Ley de Ingresos de la Federación y en el Presupuesto de Egresos de la Federación del </w:t>
      </w:r>
      <w:r w:rsidR="009B5CE3" w:rsidRPr="00625DF1">
        <w:rPr>
          <w:sz w:val="22"/>
          <w:szCs w:val="22"/>
        </w:rPr>
        <w:t>E</w:t>
      </w:r>
      <w:r w:rsidRPr="00625DF1">
        <w:rPr>
          <w:sz w:val="22"/>
          <w:szCs w:val="22"/>
        </w:rPr>
        <w:t xml:space="preserve">jercicio </w:t>
      </w:r>
      <w:r w:rsidR="009B5CE3" w:rsidRPr="00625DF1">
        <w:rPr>
          <w:sz w:val="22"/>
          <w:szCs w:val="22"/>
        </w:rPr>
        <w:t>F</w:t>
      </w:r>
      <w:r w:rsidRPr="00625DF1">
        <w:rPr>
          <w:sz w:val="22"/>
          <w:szCs w:val="22"/>
        </w:rPr>
        <w:t>iscal correspondiente.</w:t>
      </w:r>
    </w:p>
    <w:p w14:paraId="23D23F8F" w14:textId="77777777" w:rsidR="00486F30" w:rsidRPr="00625DF1" w:rsidRDefault="00486F30" w:rsidP="00074AD8">
      <w:pPr>
        <w:rPr>
          <w:sz w:val="22"/>
          <w:szCs w:val="22"/>
        </w:rPr>
      </w:pPr>
    </w:p>
    <w:p w14:paraId="53DD0A7E" w14:textId="7F1461E3" w:rsidR="000513EC" w:rsidRPr="00625DF1" w:rsidRDefault="000513EC" w:rsidP="00CB04CD">
      <w:pPr>
        <w:pStyle w:val="Ttulo3"/>
        <w:numPr>
          <w:ilvl w:val="0"/>
          <w:numId w:val="34"/>
        </w:numPr>
        <w:rPr>
          <w:rFonts w:ascii="HelveticaNeueLT Std" w:hAnsi="HelveticaNeueLT Std"/>
          <w:b/>
          <w:bCs/>
          <w:color w:val="auto"/>
          <w:sz w:val="22"/>
          <w:szCs w:val="22"/>
        </w:rPr>
      </w:pPr>
      <w:r w:rsidRPr="00625DF1">
        <w:rPr>
          <w:rFonts w:ascii="HelveticaNeueLT Std" w:hAnsi="HelveticaNeueLT Std"/>
          <w:b/>
          <w:bCs/>
          <w:color w:val="auto"/>
          <w:sz w:val="22"/>
          <w:szCs w:val="22"/>
        </w:rPr>
        <w:t xml:space="preserve">Transferencias, Asignaciones, Subsidios y Subvenciones, </w:t>
      </w:r>
      <w:r w:rsidR="001F46B1" w:rsidRPr="00625DF1">
        <w:rPr>
          <w:rFonts w:ascii="HelveticaNeueLT Std" w:hAnsi="HelveticaNeueLT Std"/>
          <w:b/>
          <w:bCs/>
          <w:color w:val="auto"/>
          <w:sz w:val="22"/>
          <w:szCs w:val="22"/>
        </w:rPr>
        <w:t xml:space="preserve">y </w:t>
      </w:r>
      <w:r w:rsidRPr="00625DF1">
        <w:rPr>
          <w:rFonts w:ascii="HelveticaNeueLT Std" w:hAnsi="HelveticaNeueLT Std"/>
          <w:b/>
          <w:bCs/>
          <w:color w:val="auto"/>
          <w:sz w:val="22"/>
          <w:szCs w:val="22"/>
        </w:rPr>
        <w:t>Pensiones y Jubilaciones</w:t>
      </w:r>
    </w:p>
    <w:p w14:paraId="1E9195E6" w14:textId="77777777" w:rsidR="00ED0AA0" w:rsidRPr="00625DF1" w:rsidRDefault="00ED0AA0" w:rsidP="00ED0AA0">
      <w:pPr>
        <w:rPr>
          <w:sz w:val="22"/>
          <w:szCs w:val="22"/>
        </w:rPr>
      </w:pPr>
    </w:p>
    <w:p w14:paraId="0C2846ED" w14:textId="79D5746D" w:rsidR="00CB04CD" w:rsidRPr="00625DF1" w:rsidRDefault="00CB04CD" w:rsidP="00CB04CD">
      <w:pPr>
        <w:rPr>
          <w:sz w:val="22"/>
          <w:szCs w:val="22"/>
        </w:rPr>
      </w:pPr>
      <w:r w:rsidRPr="00625DF1">
        <w:rPr>
          <w:sz w:val="22"/>
          <w:szCs w:val="22"/>
        </w:rPr>
        <w:t xml:space="preserve">En este rubro se integran los montos por subsidios educativos que el Estado recibe de la Federación, necesarios para atender temas prioritarios. Para su estimación, se consideró el comportamiento observado durante los últimos </w:t>
      </w:r>
      <w:r w:rsidR="00CD690F" w:rsidRPr="00625DF1">
        <w:rPr>
          <w:sz w:val="22"/>
          <w:szCs w:val="22"/>
        </w:rPr>
        <w:t>E</w:t>
      </w:r>
      <w:r w:rsidRPr="00625DF1">
        <w:rPr>
          <w:sz w:val="22"/>
          <w:szCs w:val="22"/>
        </w:rPr>
        <w:t xml:space="preserve">jercicios </w:t>
      </w:r>
      <w:r w:rsidR="00CD690F" w:rsidRPr="00625DF1">
        <w:rPr>
          <w:sz w:val="22"/>
          <w:szCs w:val="22"/>
        </w:rPr>
        <w:t>F</w:t>
      </w:r>
      <w:r w:rsidRPr="00625DF1">
        <w:rPr>
          <w:sz w:val="22"/>
          <w:szCs w:val="22"/>
        </w:rPr>
        <w:t>iscales.</w:t>
      </w:r>
    </w:p>
    <w:p w14:paraId="534B1344" w14:textId="77777777" w:rsidR="00336F2C" w:rsidRPr="00625DF1" w:rsidRDefault="00336F2C" w:rsidP="00074AD8">
      <w:pPr>
        <w:rPr>
          <w:sz w:val="22"/>
          <w:szCs w:val="22"/>
        </w:rPr>
      </w:pPr>
    </w:p>
    <w:p w14:paraId="1990EB94" w14:textId="242381CA" w:rsidR="000513EC" w:rsidRPr="00625DF1" w:rsidRDefault="000513EC" w:rsidP="00D8692B">
      <w:pPr>
        <w:pStyle w:val="Ttulo3"/>
        <w:numPr>
          <w:ilvl w:val="0"/>
          <w:numId w:val="39"/>
        </w:numPr>
        <w:rPr>
          <w:rFonts w:ascii="HelveticaNeueLT Std" w:hAnsi="HelveticaNeueLT Std"/>
          <w:b/>
          <w:bCs/>
          <w:color w:val="auto"/>
          <w:sz w:val="22"/>
          <w:szCs w:val="22"/>
        </w:rPr>
      </w:pPr>
      <w:r w:rsidRPr="00625DF1">
        <w:rPr>
          <w:rFonts w:ascii="HelveticaNeueLT Std" w:hAnsi="HelveticaNeueLT Std"/>
          <w:b/>
          <w:bCs/>
          <w:color w:val="auto"/>
          <w:sz w:val="22"/>
          <w:szCs w:val="22"/>
        </w:rPr>
        <w:t>Ingresos Derivados de Financiamientos</w:t>
      </w:r>
    </w:p>
    <w:p w14:paraId="67AA4556" w14:textId="22DA071D" w:rsidR="00486F30" w:rsidRPr="00625DF1" w:rsidRDefault="00486F30" w:rsidP="00074AD8">
      <w:pPr>
        <w:rPr>
          <w:sz w:val="22"/>
          <w:szCs w:val="22"/>
        </w:rPr>
      </w:pPr>
    </w:p>
    <w:p w14:paraId="6B7C3F9C" w14:textId="043B64E7" w:rsidR="0087591E" w:rsidRPr="00625DF1" w:rsidRDefault="0087591E" w:rsidP="0087591E">
      <w:pPr>
        <w:spacing w:line="276" w:lineRule="auto"/>
        <w:rPr>
          <w:sz w:val="22"/>
          <w:szCs w:val="22"/>
        </w:rPr>
      </w:pPr>
      <w:r w:rsidRPr="00625DF1">
        <w:rPr>
          <w:sz w:val="22"/>
          <w:szCs w:val="22"/>
        </w:rPr>
        <w:t xml:space="preserve">La estructura de la </w:t>
      </w:r>
      <w:r w:rsidR="009B5CE3" w:rsidRPr="00625DF1">
        <w:rPr>
          <w:sz w:val="22"/>
          <w:szCs w:val="22"/>
        </w:rPr>
        <w:t>D</w:t>
      </w:r>
      <w:r w:rsidRPr="00625DF1">
        <w:rPr>
          <w:sz w:val="22"/>
          <w:szCs w:val="22"/>
        </w:rPr>
        <w:t xml:space="preserve">euda </w:t>
      </w:r>
      <w:r w:rsidR="009B5CE3" w:rsidRPr="00625DF1">
        <w:rPr>
          <w:sz w:val="22"/>
          <w:szCs w:val="22"/>
        </w:rPr>
        <w:t>P</w:t>
      </w:r>
      <w:r w:rsidRPr="00625DF1">
        <w:rPr>
          <w:sz w:val="22"/>
          <w:szCs w:val="22"/>
        </w:rPr>
        <w:t>ública del Gobierno del Estado de México</w:t>
      </w:r>
      <w:r w:rsidR="00B27544" w:rsidRPr="00625DF1">
        <w:rPr>
          <w:sz w:val="22"/>
          <w:szCs w:val="22"/>
        </w:rPr>
        <w:t>,</w:t>
      </w:r>
      <w:r w:rsidRPr="00625DF1">
        <w:rPr>
          <w:sz w:val="22"/>
          <w:szCs w:val="22"/>
        </w:rPr>
        <w:t xml:space="preserve"> se realizó en estricto apego a lo establecido en la Ley de Disciplina Financiera de las Entidades Federativas y los Municipios así como al Código Financiero del Estado de México y Municipios, teniendo como objetivo fundamental</w:t>
      </w:r>
      <w:r w:rsidR="009B5CE3" w:rsidRPr="00625DF1">
        <w:rPr>
          <w:sz w:val="22"/>
          <w:szCs w:val="22"/>
        </w:rPr>
        <w:t>,</w:t>
      </w:r>
      <w:r w:rsidRPr="00625DF1">
        <w:rPr>
          <w:sz w:val="22"/>
          <w:szCs w:val="22"/>
        </w:rPr>
        <w:t xml:space="preserve"> proteger a la Hacienda Estatal de variaciones inesperadas en la tasa de referencia, al tiempo de mitigar los posibles pasivos contingentes derivados de las operaciones de crédito y proyectos de inversión que se han implementado, mediante la incorporación de instrumentos financieros sanos.</w:t>
      </w:r>
    </w:p>
    <w:p w14:paraId="18A14513" w14:textId="77777777" w:rsidR="0087591E" w:rsidRPr="00625DF1" w:rsidRDefault="0087591E" w:rsidP="0087591E">
      <w:pPr>
        <w:spacing w:line="276" w:lineRule="auto"/>
        <w:rPr>
          <w:sz w:val="22"/>
          <w:szCs w:val="22"/>
        </w:rPr>
      </w:pPr>
    </w:p>
    <w:p w14:paraId="7DE3B80D" w14:textId="06EB54E5" w:rsidR="0087591E" w:rsidRPr="00625DF1" w:rsidRDefault="0087591E" w:rsidP="0087591E">
      <w:pPr>
        <w:spacing w:line="276" w:lineRule="auto"/>
        <w:rPr>
          <w:sz w:val="22"/>
          <w:szCs w:val="22"/>
        </w:rPr>
      </w:pPr>
      <w:r w:rsidRPr="00625DF1">
        <w:rPr>
          <w:sz w:val="22"/>
          <w:szCs w:val="22"/>
        </w:rPr>
        <w:t xml:space="preserve">En esta tesitura, la </w:t>
      </w:r>
      <w:r w:rsidR="009B5CE3" w:rsidRPr="00625DF1">
        <w:rPr>
          <w:sz w:val="22"/>
          <w:szCs w:val="22"/>
        </w:rPr>
        <w:t>D</w:t>
      </w:r>
      <w:r w:rsidRPr="00625DF1">
        <w:rPr>
          <w:sz w:val="22"/>
          <w:szCs w:val="22"/>
        </w:rPr>
        <w:t xml:space="preserve">euda </w:t>
      </w:r>
      <w:r w:rsidR="009B5CE3" w:rsidRPr="00625DF1">
        <w:rPr>
          <w:sz w:val="22"/>
          <w:szCs w:val="22"/>
        </w:rPr>
        <w:t>P</w:t>
      </w:r>
      <w:r w:rsidRPr="00625DF1">
        <w:rPr>
          <w:sz w:val="22"/>
          <w:szCs w:val="22"/>
        </w:rPr>
        <w:t>ública del Gobierno del Estado de México</w:t>
      </w:r>
      <w:r w:rsidR="009B5CE3" w:rsidRPr="00625DF1">
        <w:rPr>
          <w:sz w:val="22"/>
          <w:szCs w:val="22"/>
        </w:rPr>
        <w:t>,</w:t>
      </w:r>
      <w:r w:rsidRPr="00625DF1">
        <w:rPr>
          <w:sz w:val="22"/>
          <w:szCs w:val="22"/>
        </w:rPr>
        <w:t xml:space="preserve"> se encuentra estructurada bajo un Fideicomiso Maestro, que cuenta afecto en patrimonio, como garantía y fuente de pago, los Derechos y los flujos del 100 por ciento de las </w:t>
      </w:r>
      <w:r w:rsidR="009B5CE3" w:rsidRPr="00625DF1">
        <w:rPr>
          <w:sz w:val="22"/>
          <w:szCs w:val="22"/>
        </w:rPr>
        <w:t>P</w:t>
      </w:r>
      <w:r w:rsidRPr="00625DF1">
        <w:rPr>
          <w:sz w:val="22"/>
          <w:szCs w:val="22"/>
        </w:rPr>
        <w:t xml:space="preserve">articipaciones </w:t>
      </w:r>
      <w:r w:rsidR="009B5CE3" w:rsidRPr="00625DF1">
        <w:rPr>
          <w:sz w:val="22"/>
          <w:szCs w:val="22"/>
        </w:rPr>
        <w:t>E</w:t>
      </w:r>
      <w:r w:rsidRPr="00625DF1">
        <w:rPr>
          <w:sz w:val="22"/>
          <w:szCs w:val="22"/>
        </w:rPr>
        <w:t>statales y el Fondo de Aportaciones para el Fortalecimiento de las Entidades Federativas (FAFEF).</w:t>
      </w:r>
    </w:p>
    <w:p w14:paraId="2418B5DF" w14:textId="77777777" w:rsidR="0087591E" w:rsidRPr="00625DF1" w:rsidRDefault="0087591E" w:rsidP="0087591E">
      <w:pPr>
        <w:tabs>
          <w:tab w:val="left" w:pos="1515"/>
        </w:tabs>
        <w:spacing w:line="276" w:lineRule="auto"/>
        <w:rPr>
          <w:sz w:val="22"/>
          <w:szCs w:val="22"/>
        </w:rPr>
      </w:pPr>
      <w:r w:rsidRPr="00625DF1">
        <w:rPr>
          <w:sz w:val="22"/>
          <w:szCs w:val="22"/>
        </w:rPr>
        <w:tab/>
      </w:r>
    </w:p>
    <w:p w14:paraId="6305FC42" w14:textId="66F551E6" w:rsidR="0087591E" w:rsidRPr="00625DF1" w:rsidRDefault="0087591E" w:rsidP="0087591E">
      <w:pPr>
        <w:spacing w:line="276" w:lineRule="auto"/>
        <w:rPr>
          <w:sz w:val="22"/>
          <w:szCs w:val="22"/>
        </w:rPr>
      </w:pPr>
      <w:r w:rsidRPr="00625DF1">
        <w:rPr>
          <w:sz w:val="22"/>
          <w:szCs w:val="22"/>
        </w:rPr>
        <w:t>Es importante precisar que</w:t>
      </w:r>
      <w:r w:rsidR="00B27544" w:rsidRPr="00625DF1">
        <w:rPr>
          <w:sz w:val="22"/>
          <w:szCs w:val="22"/>
        </w:rPr>
        <w:t>,</w:t>
      </w:r>
      <w:r w:rsidRPr="00625DF1">
        <w:rPr>
          <w:sz w:val="22"/>
          <w:szCs w:val="22"/>
        </w:rPr>
        <w:t xml:space="preserve"> al 30 de septiembre de 2022, el 5.12 por ciento de la </w:t>
      </w:r>
      <w:r w:rsidR="009B5CE3" w:rsidRPr="00625DF1">
        <w:rPr>
          <w:sz w:val="22"/>
          <w:szCs w:val="22"/>
        </w:rPr>
        <w:t>D</w:t>
      </w:r>
      <w:r w:rsidRPr="00625DF1">
        <w:rPr>
          <w:sz w:val="22"/>
          <w:szCs w:val="22"/>
        </w:rPr>
        <w:t xml:space="preserve">euda </w:t>
      </w:r>
      <w:r w:rsidR="009B5CE3" w:rsidRPr="00625DF1">
        <w:rPr>
          <w:sz w:val="22"/>
          <w:szCs w:val="22"/>
        </w:rPr>
        <w:t>P</w:t>
      </w:r>
      <w:r w:rsidRPr="00625DF1">
        <w:rPr>
          <w:sz w:val="22"/>
          <w:szCs w:val="22"/>
        </w:rPr>
        <w:t>ública del Gobierno del Estado</w:t>
      </w:r>
      <w:r w:rsidR="009B5CE3" w:rsidRPr="00625DF1">
        <w:rPr>
          <w:sz w:val="22"/>
          <w:szCs w:val="22"/>
        </w:rPr>
        <w:t>,</w:t>
      </w:r>
      <w:r w:rsidR="00ED0AA0" w:rsidRPr="00625DF1">
        <w:rPr>
          <w:sz w:val="22"/>
          <w:szCs w:val="22"/>
        </w:rPr>
        <w:t xml:space="preserve"> </w:t>
      </w:r>
      <w:r w:rsidRPr="00625DF1">
        <w:rPr>
          <w:sz w:val="22"/>
          <w:szCs w:val="22"/>
        </w:rPr>
        <w:t>está contratada a tasa fija. Adicionalmente, se han celebrado Contratos de Intercambio de Flujos (Swaps) que sirven al 51.43 por ciento de la deuda; es decir, entre ambas opciones</w:t>
      </w:r>
      <w:r w:rsidR="009B5CE3" w:rsidRPr="00625DF1">
        <w:rPr>
          <w:sz w:val="22"/>
          <w:szCs w:val="22"/>
        </w:rPr>
        <w:t>,</w:t>
      </w:r>
      <w:r w:rsidRPr="00625DF1">
        <w:rPr>
          <w:sz w:val="22"/>
          <w:szCs w:val="22"/>
        </w:rPr>
        <w:t xml:space="preserve"> el 56.55 por ciento de los créditos contratados tienen cubierto el riesgo de variaciones en la tasa de referencia.</w:t>
      </w:r>
    </w:p>
    <w:p w14:paraId="77AB5E6B" w14:textId="77777777" w:rsidR="0087591E" w:rsidRPr="00625DF1" w:rsidRDefault="0087591E" w:rsidP="0087591E">
      <w:pPr>
        <w:spacing w:line="276" w:lineRule="auto"/>
        <w:rPr>
          <w:sz w:val="22"/>
          <w:szCs w:val="22"/>
        </w:rPr>
      </w:pPr>
    </w:p>
    <w:p w14:paraId="04522509" w14:textId="6C53DD09" w:rsidR="0087591E" w:rsidRPr="00625DF1" w:rsidRDefault="0087591E" w:rsidP="0087591E">
      <w:pPr>
        <w:spacing w:line="276" w:lineRule="auto"/>
        <w:rPr>
          <w:sz w:val="22"/>
          <w:szCs w:val="22"/>
        </w:rPr>
      </w:pPr>
      <w:r w:rsidRPr="00625DF1">
        <w:rPr>
          <w:sz w:val="22"/>
          <w:szCs w:val="22"/>
        </w:rPr>
        <w:t>Es de destacar que los créditos del Gobierno del Estado de México están suscritos en moneda nacional, por lo que el tipo de cambio no afecta los montos contratados ni directamente el servicio de la deuda. Bajo este escenario, las necesidades de financiamiento del Gobierno Estatal para el periodo 2023-2028, estarán determinadas por su déficit anual más las amortizaciones de la deuda pública. A continuación, se presenta el perfil de vencimiento de la deuda</w:t>
      </w:r>
      <w:r w:rsidR="009B5CE3" w:rsidRPr="00625DF1">
        <w:rPr>
          <w:sz w:val="22"/>
          <w:szCs w:val="22"/>
        </w:rPr>
        <w:t xml:space="preserve"> </w:t>
      </w:r>
      <w:r w:rsidRPr="00625DF1">
        <w:rPr>
          <w:sz w:val="22"/>
          <w:szCs w:val="22"/>
        </w:rPr>
        <w:t>en dicho periodo.</w:t>
      </w:r>
    </w:p>
    <w:p w14:paraId="5E638EFA" w14:textId="77777777" w:rsidR="0087591E" w:rsidRPr="00625DF1" w:rsidRDefault="0087591E" w:rsidP="0087591E">
      <w:pPr>
        <w:spacing w:line="276" w:lineRule="auto"/>
        <w:rPr>
          <w:sz w:val="22"/>
          <w:szCs w:val="22"/>
        </w:rPr>
      </w:pPr>
    </w:p>
    <w:p w14:paraId="2C70FC51" w14:textId="77777777" w:rsidR="0087591E" w:rsidRPr="00625DF1" w:rsidRDefault="0087591E" w:rsidP="0087591E">
      <w:pPr>
        <w:spacing w:line="276" w:lineRule="auto"/>
        <w:jc w:val="center"/>
        <w:rPr>
          <w:rFonts w:cs="Arial"/>
          <w:b/>
          <w:sz w:val="22"/>
          <w:szCs w:val="22"/>
        </w:rPr>
      </w:pPr>
      <w:r w:rsidRPr="00625DF1">
        <w:rPr>
          <w:rFonts w:cs="Arial"/>
          <w:b/>
          <w:sz w:val="22"/>
          <w:szCs w:val="22"/>
        </w:rPr>
        <w:t xml:space="preserve">Proyección de Amortización de la Deuda Pública del Estado de México </w:t>
      </w:r>
    </w:p>
    <w:p w14:paraId="058C6DB2" w14:textId="77777777" w:rsidR="0087591E" w:rsidRPr="00625DF1" w:rsidRDefault="0087591E" w:rsidP="0087591E">
      <w:pPr>
        <w:spacing w:line="276" w:lineRule="auto"/>
        <w:jc w:val="center"/>
        <w:rPr>
          <w:rFonts w:cs="Arial"/>
          <w:b/>
          <w:sz w:val="22"/>
          <w:szCs w:val="22"/>
        </w:rPr>
      </w:pPr>
      <w:r w:rsidRPr="00625DF1">
        <w:rPr>
          <w:rFonts w:cs="Arial"/>
          <w:b/>
          <w:sz w:val="22"/>
          <w:szCs w:val="22"/>
        </w:rPr>
        <w:t>2023-2028</w:t>
      </w:r>
    </w:p>
    <w:tbl>
      <w:tblPr>
        <w:tblStyle w:val="Tablaconcuadrcula"/>
        <w:tblW w:w="0" w:type="auto"/>
        <w:jc w:val="center"/>
        <w:tblLook w:val="04A0" w:firstRow="1" w:lastRow="0" w:firstColumn="1" w:lastColumn="0" w:noHBand="0" w:noVBand="1"/>
      </w:tblPr>
      <w:tblGrid>
        <w:gridCol w:w="1720"/>
        <w:gridCol w:w="1129"/>
        <w:gridCol w:w="1248"/>
        <w:gridCol w:w="1248"/>
        <w:gridCol w:w="1247"/>
        <w:gridCol w:w="1129"/>
        <w:gridCol w:w="1107"/>
      </w:tblGrid>
      <w:tr w:rsidR="0087591E" w:rsidRPr="00E84DBE" w14:paraId="36BE6592" w14:textId="77777777" w:rsidTr="0087591E">
        <w:trPr>
          <w:jc w:val="center"/>
        </w:trPr>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58F6F7" w14:textId="77777777" w:rsidR="0087591E" w:rsidRPr="00E84DBE" w:rsidRDefault="0087591E">
            <w:pPr>
              <w:spacing w:line="276" w:lineRule="auto"/>
              <w:jc w:val="center"/>
              <w:rPr>
                <w:bCs/>
                <w:sz w:val="20"/>
                <w:szCs w:val="20"/>
              </w:rPr>
            </w:pPr>
            <w:r w:rsidRPr="00E84DBE">
              <w:rPr>
                <w:bCs/>
                <w:sz w:val="20"/>
                <w:szCs w:val="20"/>
              </w:rPr>
              <w:t>Concepto</w:t>
            </w:r>
            <w:r w:rsidRPr="00E84DBE">
              <w:rPr>
                <w:rFonts w:cs="Arial"/>
                <w:bCs/>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074F81" w14:textId="77777777" w:rsidR="0087591E" w:rsidRPr="00E84DBE" w:rsidRDefault="0087591E">
            <w:pPr>
              <w:spacing w:line="276" w:lineRule="auto"/>
              <w:jc w:val="center"/>
              <w:rPr>
                <w:rFonts w:cs="Arial"/>
                <w:bCs/>
                <w:sz w:val="20"/>
                <w:szCs w:val="20"/>
              </w:rPr>
            </w:pPr>
            <w:r w:rsidRPr="00E84DBE">
              <w:rPr>
                <w:rFonts w:cs="Arial"/>
                <w:bCs/>
                <w:sz w:val="20"/>
                <w:szCs w:val="20"/>
              </w:rPr>
              <w:t>2023</w:t>
            </w: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81BF62" w14:textId="77777777" w:rsidR="0087591E" w:rsidRPr="00E84DBE" w:rsidRDefault="0087591E">
            <w:pPr>
              <w:spacing w:line="276" w:lineRule="auto"/>
              <w:jc w:val="center"/>
              <w:rPr>
                <w:rFonts w:cs="Arial"/>
                <w:bCs/>
                <w:sz w:val="20"/>
                <w:szCs w:val="20"/>
              </w:rPr>
            </w:pPr>
            <w:r w:rsidRPr="00E84DBE">
              <w:rPr>
                <w:rFonts w:cs="Arial"/>
                <w:bCs/>
                <w:sz w:val="20"/>
                <w:szCs w:val="20"/>
              </w:rPr>
              <w:t>2024</w:t>
            </w: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98034B" w14:textId="77777777" w:rsidR="0087591E" w:rsidRPr="00E84DBE" w:rsidRDefault="0087591E">
            <w:pPr>
              <w:spacing w:line="276" w:lineRule="auto"/>
              <w:jc w:val="center"/>
              <w:rPr>
                <w:rFonts w:cs="Arial"/>
                <w:bCs/>
                <w:sz w:val="20"/>
                <w:szCs w:val="20"/>
              </w:rPr>
            </w:pPr>
            <w:r w:rsidRPr="00E84DBE">
              <w:rPr>
                <w:rFonts w:cs="Arial"/>
                <w:bCs/>
                <w:sz w:val="20"/>
                <w:szCs w:val="20"/>
              </w:rPr>
              <w:t>2025</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33548" w14:textId="77777777" w:rsidR="0087591E" w:rsidRPr="00E84DBE" w:rsidRDefault="0087591E">
            <w:pPr>
              <w:spacing w:line="276" w:lineRule="auto"/>
              <w:jc w:val="center"/>
              <w:rPr>
                <w:rFonts w:cs="Arial"/>
                <w:bCs/>
                <w:sz w:val="20"/>
                <w:szCs w:val="20"/>
              </w:rPr>
            </w:pPr>
            <w:r w:rsidRPr="00E84DBE">
              <w:rPr>
                <w:rFonts w:cs="Arial"/>
                <w:bCs/>
                <w:sz w:val="20"/>
                <w:szCs w:val="20"/>
              </w:rPr>
              <w:t>2026</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FC73F" w14:textId="77777777" w:rsidR="0087591E" w:rsidRPr="00E84DBE" w:rsidRDefault="0087591E">
            <w:pPr>
              <w:spacing w:line="276" w:lineRule="auto"/>
              <w:jc w:val="center"/>
              <w:rPr>
                <w:rFonts w:cs="Arial"/>
                <w:bCs/>
                <w:sz w:val="20"/>
                <w:szCs w:val="20"/>
              </w:rPr>
            </w:pPr>
            <w:r w:rsidRPr="00E84DBE">
              <w:rPr>
                <w:rFonts w:cs="Arial"/>
                <w:bCs/>
                <w:sz w:val="20"/>
                <w:szCs w:val="20"/>
              </w:rPr>
              <w:t>2027</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EBAFA6" w14:textId="77777777" w:rsidR="0087591E" w:rsidRPr="00E84DBE" w:rsidRDefault="0087591E">
            <w:pPr>
              <w:spacing w:line="276" w:lineRule="auto"/>
              <w:jc w:val="center"/>
              <w:rPr>
                <w:rFonts w:cs="Arial"/>
                <w:bCs/>
                <w:sz w:val="20"/>
                <w:szCs w:val="20"/>
              </w:rPr>
            </w:pPr>
            <w:r w:rsidRPr="00E84DBE">
              <w:rPr>
                <w:rFonts w:cs="Arial"/>
                <w:bCs/>
                <w:sz w:val="20"/>
                <w:szCs w:val="20"/>
              </w:rPr>
              <w:t>2028</w:t>
            </w:r>
          </w:p>
        </w:tc>
      </w:tr>
      <w:tr w:rsidR="001214BD" w:rsidRPr="00E84DBE" w14:paraId="436C9B28" w14:textId="77777777" w:rsidTr="0087591E">
        <w:trPr>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14:paraId="414B6BF4" w14:textId="77777777" w:rsidR="001214BD" w:rsidRPr="00E84DBE" w:rsidRDefault="001214BD" w:rsidP="001214BD">
            <w:pPr>
              <w:spacing w:line="276" w:lineRule="auto"/>
              <w:jc w:val="center"/>
              <w:rPr>
                <w:bCs/>
                <w:sz w:val="20"/>
                <w:szCs w:val="20"/>
              </w:rPr>
            </w:pPr>
            <w:r w:rsidRPr="00E84DBE">
              <w:rPr>
                <w:bCs/>
                <w:sz w:val="20"/>
                <w:szCs w:val="20"/>
              </w:rPr>
              <w:t>Sector Central</w:t>
            </w:r>
          </w:p>
        </w:tc>
        <w:tc>
          <w:tcPr>
            <w:tcW w:w="1129" w:type="dxa"/>
            <w:tcBorders>
              <w:top w:val="single" w:sz="4" w:space="0" w:color="auto"/>
              <w:left w:val="single" w:sz="4" w:space="0" w:color="auto"/>
              <w:bottom w:val="single" w:sz="4" w:space="0" w:color="auto"/>
              <w:right w:val="single" w:sz="4" w:space="0" w:color="auto"/>
            </w:tcBorders>
            <w:hideMark/>
          </w:tcPr>
          <w:p w14:paraId="05794849" w14:textId="0F816208" w:rsidR="001214BD" w:rsidRPr="001214BD" w:rsidRDefault="001214BD" w:rsidP="001214BD">
            <w:pPr>
              <w:spacing w:line="276" w:lineRule="auto"/>
              <w:jc w:val="center"/>
              <w:rPr>
                <w:rFonts w:cs="Arial"/>
                <w:bCs/>
                <w:sz w:val="20"/>
                <w:szCs w:val="20"/>
              </w:rPr>
            </w:pPr>
            <w:r w:rsidRPr="001214BD">
              <w:rPr>
                <w:sz w:val="20"/>
                <w:szCs w:val="20"/>
              </w:rPr>
              <w:t>695.83</w:t>
            </w:r>
          </w:p>
        </w:tc>
        <w:tc>
          <w:tcPr>
            <w:tcW w:w="1248" w:type="dxa"/>
            <w:tcBorders>
              <w:top w:val="single" w:sz="4" w:space="0" w:color="auto"/>
              <w:left w:val="single" w:sz="4" w:space="0" w:color="auto"/>
              <w:bottom w:val="single" w:sz="4" w:space="0" w:color="auto"/>
              <w:right w:val="single" w:sz="4" w:space="0" w:color="auto"/>
            </w:tcBorders>
            <w:hideMark/>
          </w:tcPr>
          <w:p w14:paraId="18D6C76D" w14:textId="4FE2B9C6" w:rsidR="001214BD" w:rsidRPr="001214BD" w:rsidRDefault="001214BD" w:rsidP="001214BD">
            <w:pPr>
              <w:spacing w:line="276" w:lineRule="auto"/>
              <w:jc w:val="center"/>
              <w:rPr>
                <w:rFonts w:cs="Arial"/>
                <w:bCs/>
                <w:sz w:val="20"/>
                <w:szCs w:val="20"/>
              </w:rPr>
            </w:pPr>
            <w:r w:rsidRPr="001214BD">
              <w:rPr>
                <w:sz w:val="20"/>
                <w:szCs w:val="20"/>
              </w:rPr>
              <w:t>635.35</w:t>
            </w:r>
          </w:p>
        </w:tc>
        <w:tc>
          <w:tcPr>
            <w:tcW w:w="1248" w:type="dxa"/>
            <w:tcBorders>
              <w:top w:val="single" w:sz="4" w:space="0" w:color="auto"/>
              <w:left w:val="single" w:sz="4" w:space="0" w:color="auto"/>
              <w:bottom w:val="single" w:sz="4" w:space="0" w:color="auto"/>
              <w:right w:val="single" w:sz="4" w:space="0" w:color="auto"/>
            </w:tcBorders>
            <w:hideMark/>
          </w:tcPr>
          <w:p w14:paraId="02AD6F34" w14:textId="6A8E7946" w:rsidR="001214BD" w:rsidRPr="001214BD" w:rsidRDefault="001214BD" w:rsidP="001214BD">
            <w:pPr>
              <w:spacing w:line="276" w:lineRule="auto"/>
              <w:jc w:val="center"/>
              <w:rPr>
                <w:rFonts w:cs="Arial"/>
                <w:bCs/>
                <w:sz w:val="20"/>
                <w:szCs w:val="20"/>
              </w:rPr>
            </w:pPr>
            <w:r w:rsidRPr="001214BD">
              <w:rPr>
                <w:sz w:val="20"/>
                <w:szCs w:val="20"/>
              </w:rPr>
              <w:t>926.86</w:t>
            </w:r>
          </w:p>
        </w:tc>
        <w:tc>
          <w:tcPr>
            <w:tcW w:w="1247" w:type="dxa"/>
            <w:tcBorders>
              <w:top w:val="single" w:sz="4" w:space="0" w:color="auto"/>
              <w:left w:val="single" w:sz="4" w:space="0" w:color="auto"/>
              <w:bottom w:val="single" w:sz="4" w:space="0" w:color="auto"/>
              <w:right w:val="single" w:sz="4" w:space="0" w:color="auto"/>
            </w:tcBorders>
            <w:hideMark/>
          </w:tcPr>
          <w:p w14:paraId="528FBFC2" w14:textId="0B73F04F" w:rsidR="001214BD" w:rsidRPr="001214BD" w:rsidRDefault="001214BD" w:rsidP="001214BD">
            <w:pPr>
              <w:spacing w:line="276" w:lineRule="auto"/>
              <w:jc w:val="center"/>
              <w:rPr>
                <w:rFonts w:cs="Arial"/>
                <w:bCs/>
                <w:sz w:val="20"/>
                <w:szCs w:val="20"/>
              </w:rPr>
            </w:pPr>
            <w:r w:rsidRPr="001214BD">
              <w:rPr>
                <w:sz w:val="20"/>
                <w:szCs w:val="20"/>
              </w:rPr>
              <w:t>1,316.70</w:t>
            </w:r>
          </w:p>
        </w:tc>
        <w:tc>
          <w:tcPr>
            <w:tcW w:w="1129" w:type="dxa"/>
            <w:tcBorders>
              <w:top w:val="single" w:sz="4" w:space="0" w:color="auto"/>
              <w:left w:val="single" w:sz="4" w:space="0" w:color="auto"/>
              <w:bottom w:val="single" w:sz="4" w:space="0" w:color="auto"/>
              <w:right w:val="single" w:sz="4" w:space="0" w:color="auto"/>
            </w:tcBorders>
            <w:hideMark/>
          </w:tcPr>
          <w:p w14:paraId="6FBC5336" w14:textId="3DC820FC" w:rsidR="001214BD" w:rsidRPr="001214BD" w:rsidRDefault="001214BD" w:rsidP="001214BD">
            <w:pPr>
              <w:spacing w:line="276" w:lineRule="auto"/>
              <w:jc w:val="center"/>
              <w:rPr>
                <w:rFonts w:cs="Arial"/>
                <w:bCs/>
                <w:sz w:val="20"/>
                <w:szCs w:val="20"/>
              </w:rPr>
            </w:pPr>
            <w:r w:rsidRPr="001214BD">
              <w:rPr>
                <w:sz w:val="20"/>
                <w:szCs w:val="20"/>
              </w:rPr>
              <w:t>1,760.15</w:t>
            </w:r>
          </w:p>
        </w:tc>
        <w:tc>
          <w:tcPr>
            <w:tcW w:w="1107" w:type="dxa"/>
            <w:tcBorders>
              <w:top w:val="single" w:sz="4" w:space="0" w:color="auto"/>
              <w:left w:val="single" w:sz="4" w:space="0" w:color="auto"/>
              <w:bottom w:val="single" w:sz="4" w:space="0" w:color="auto"/>
              <w:right w:val="single" w:sz="4" w:space="0" w:color="auto"/>
            </w:tcBorders>
            <w:hideMark/>
          </w:tcPr>
          <w:p w14:paraId="26D13861" w14:textId="225147D8" w:rsidR="001214BD" w:rsidRPr="001214BD" w:rsidRDefault="001214BD" w:rsidP="001214BD">
            <w:pPr>
              <w:spacing w:line="276" w:lineRule="auto"/>
              <w:jc w:val="center"/>
              <w:rPr>
                <w:rFonts w:cs="Arial"/>
                <w:bCs/>
                <w:sz w:val="20"/>
                <w:szCs w:val="20"/>
              </w:rPr>
            </w:pPr>
            <w:r w:rsidRPr="001214BD">
              <w:rPr>
                <w:sz w:val="20"/>
                <w:szCs w:val="20"/>
              </w:rPr>
              <w:t>2,255.60</w:t>
            </w:r>
          </w:p>
        </w:tc>
      </w:tr>
    </w:tbl>
    <w:p w14:paraId="38893708" w14:textId="77777777" w:rsidR="0087591E" w:rsidRPr="00E84DBE" w:rsidRDefault="0087591E" w:rsidP="0087591E">
      <w:pPr>
        <w:spacing w:line="276" w:lineRule="auto"/>
        <w:rPr>
          <w:rFonts w:cs="Arial"/>
          <w:sz w:val="16"/>
          <w:szCs w:val="16"/>
        </w:rPr>
      </w:pPr>
      <w:r w:rsidRPr="00E84DBE">
        <w:rPr>
          <w:rFonts w:cs="Arial"/>
          <w:sz w:val="16"/>
          <w:szCs w:val="16"/>
        </w:rPr>
        <w:t>Cifras en millones de pesos.</w:t>
      </w:r>
    </w:p>
    <w:p w14:paraId="0310FE29" w14:textId="77777777" w:rsidR="0087591E" w:rsidRPr="00E84DBE" w:rsidRDefault="0087591E" w:rsidP="0087591E">
      <w:pPr>
        <w:spacing w:line="276" w:lineRule="auto"/>
        <w:rPr>
          <w:sz w:val="22"/>
          <w:szCs w:val="22"/>
        </w:rPr>
      </w:pPr>
    </w:p>
    <w:p w14:paraId="3DF30C9D" w14:textId="692B252B" w:rsidR="0087591E" w:rsidRPr="00625DF1" w:rsidRDefault="0087591E" w:rsidP="0087591E">
      <w:pPr>
        <w:spacing w:line="276" w:lineRule="auto"/>
        <w:rPr>
          <w:sz w:val="22"/>
          <w:szCs w:val="22"/>
        </w:rPr>
      </w:pPr>
      <w:r w:rsidRPr="00625DF1">
        <w:rPr>
          <w:sz w:val="22"/>
          <w:szCs w:val="22"/>
        </w:rPr>
        <w:t>Se estima que el crecimiento de la actividad económica global sea mayor al observado en el año 2022, no obstante lo anterior, se visualiza un escenario económico-financiero complicado para el año siguiente</w:t>
      </w:r>
      <w:r w:rsidR="00B27544" w:rsidRPr="00625DF1">
        <w:rPr>
          <w:sz w:val="22"/>
          <w:szCs w:val="22"/>
        </w:rPr>
        <w:t>,</w:t>
      </w:r>
      <w:r w:rsidRPr="00625DF1">
        <w:rPr>
          <w:sz w:val="22"/>
          <w:szCs w:val="22"/>
        </w:rPr>
        <w:t xml:space="preserve"> en un contexto de caída de los ingresos, a</w:t>
      </w:r>
      <w:r w:rsidR="009B5CE3" w:rsidRPr="00625DF1">
        <w:rPr>
          <w:sz w:val="22"/>
          <w:szCs w:val="22"/>
        </w:rPr>
        <w:t>ú</w:t>
      </w:r>
      <w:r w:rsidRPr="00625DF1">
        <w:rPr>
          <w:sz w:val="22"/>
          <w:szCs w:val="22"/>
        </w:rPr>
        <w:t xml:space="preserve">n con la posibilidad de un repunte del Producto Interno Bruto y la mejora en el </w:t>
      </w:r>
      <w:r w:rsidR="00FC0DEC" w:rsidRPr="00625DF1">
        <w:rPr>
          <w:sz w:val="22"/>
          <w:szCs w:val="22"/>
        </w:rPr>
        <w:t>Í</w:t>
      </w:r>
      <w:r w:rsidRPr="00625DF1">
        <w:rPr>
          <w:sz w:val="22"/>
          <w:szCs w:val="22"/>
        </w:rPr>
        <w:t xml:space="preserve">ndice de </w:t>
      </w:r>
      <w:r w:rsidR="009B5CE3" w:rsidRPr="00625DF1">
        <w:rPr>
          <w:sz w:val="22"/>
          <w:szCs w:val="22"/>
        </w:rPr>
        <w:t>P</w:t>
      </w:r>
      <w:r w:rsidRPr="00625DF1">
        <w:rPr>
          <w:sz w:val="22"/>
          <w:szCs w:val="22"/>
        </w:rPr>
        <w:t xml:space="preserve">articipación de </w:t>
      </w:r>
      <w:r w:rsidR="009B5CE3" w:rsidRPr="00625DF1">
        <w:rPr>
          <w:sz w:val="22"/>
          <w:szCs w:val="22"/>
        </w:rPr>
        <w:t>I</w:t>
      </w:r>
      <w:r w:rsidRPr="00625DF1">
        <w:rPr>
          <w:sz w:val="22"/>
          <w:szCs w:val="22"/>
        </w:rPr>
        <w:t>nversión</w:t>
      </w:r>
      <w:r w:rsidR="00B27544" w:rsidRPr="00625DF1">
        <w:rPr>
          <w:sz w:val="22"/>
          <w:szCs w:val="22"/>
        </w:rPr>
        <w:t>. L</w:t>
      </w:r>
      <w:r w:rsidRPr="00625DF1">
        <w:rPr>
          <w:sz w:val="22"/>
          <w:szCs w:val="22"/>
        </w:rPr>
        <w:t>os retos para el Estado de México serán importantes, por lo que es necesario desarrollar medidas contra cíclicas que dinamicen la economía estatal.</w:t>
      </w:r>
    </w:p>
    <w:p w14:paraId="3037B2D6" w14:textId="77777777" w:rsidR="0087591E" w:rsidRPr="00625DF1" w:rsidRDefault="0087591E" w:rsidP="0087591E">
      <w:pPr>
        <w:spacing w:line="276" w:lineRule="auto"/>
        <w:rPr>
          <w:sz w:val="22"/>
          <w:szCs w:val="22"/>
        </w:rPr>
      </w:pPr>
    </w:p>
    <w:p w14:paraId="5B6D889B" w14:textId="1A627215" w:rsidR="00AD6E42" w:rsidRPr="00625DF1" w:rsidRDefault="0087591E" w:rsidP="0087591E">
      <w:pPr>
        <w:spacing w:line="276" w:lineRule="auto"/>
        <w:rPr>
          <w:rFonts w:cs="Arial"/>
          <w:color w:val="000000"/>
          <w:sz w:val="22"/>
          <w:szCs w:val="22"/>
        </w:rPr>
      </w:pPr>
      <w:r w:rsidRPr="00625DF1">
        <w:rPr>
          <w:sz w:val="22"/>
          <w:szCs w:val="22"/>
        </w:rPr>
        <w:t>Ahora bien,</w:t>
      </w:r>
      <w:r w:rsidRPr="00625DF1">
        <w:rPr>
          <w:rFonts w:cs="Arial"/>
          <w:color w:val="000000"/>
          <w:sz w:val="22"/>
          <w:szCs w:val="22"/>
        </w:rPr>
        <w:t xml:space="preserve"> con el propósito de detonar la actividad económica y generar empleos en el Estado de México, se tiene contemplado impulsar la inversión pública productiva en los siguientes rubros de infraestructura económica: conectividad aeroportuaria, infraestructura vial, obra pública, salud, transporte masivo, sistema de saneamiento y drenaje y proyectos de electrificación. Para apoyar dicho propósito, previo análisis de la capacidad de pago del Gobierno del Estado de México, así como del otorgamiento de recursos como fuente o garantía de pago y destino de los financiamientos, se autoriza al Gobierno del Estado a través del Titular del Ejecutivo del Estado, por sí o por conducto de la Secretaría de Finanzas, para llevar a cabo la contratación de (i) financiamiento neto hasta por un monto de $1,500,000,000.00 (Mil quinientos millones de pesos 00/100 M.N.), para ser destinados a los rubros de inversión señalados en el presente párrafo; y (ii) de </w:t>
      </w:r>
      <w:r w:rsidR="00AD6E42" w:rsidRPr="00625DF1">
        <w:rPr>
          <w:rFonts w:cs="Arial"/>
          <w:color w:val="000000"/>
          <w:sz w:val="22"/>
          <w:szCs w:val="22"/>
        </w:rPr>
        <w:t>Instrumentos Derivados que conlleven obligaciones de pago a cargo del Estado, por plazos menores o mayores a un año, para cubrir los riesgos de tasa de interés de los financiamientos que se contraten al amparo de la presente autorización, así como de cualquier otro crédito que haya sido contratado previamente y forme parte del saldo de la Deuda Pública del Gobierno del Estado de México</w:t>
      </w:r>
      <w:r w:rsidR="00AD6E42" w:rsidRPr="00625DF1">
        <w:rPr>
          <w:rFonts w:cs="Arial"/>
          <w:bCs/>
          <w:sz w:val="22"/>
          <w:szCs w:val="22"/>
        </w:rPr>
        <w:t xml:space="preserve"> los cuales podrán compartir la misma fuente de pago de los financiamientos que respaldan.</w:t>
      </w:r>
      <w:r w:rsidR="00AD6E42" w:rsidRPr="00625DF1">
        <w:rPr>
          <w:rFonts w:cs="Arial"/>
          <w:color w:val="000000"/>
          <w:sz w:val="22"/>
          <w:szCs w:val="22"/>
        </w:rPr>
        <w:t xml:space="preserve"> Lo anterior, siempre y cuando no se rebase el techo de las contrataciones establecidos en el artículo 46 de la Ley de Disciplina Financiera de las Entidades Federativas y los Municipios. En todo caso, el o los financiamientos podrán ser</w:t>
      </w:r>
      <w:r w:rsidR="00AD6E42" w:rsidRPr="00625DF1">
        <w:rPr>
          <w:rFonts w:cs="Arial"/>
          <w:sz w:val="22"/>
          <w:szCs w:val="22"/>
        </w:rPr>
        <w:t xml:space="preserve">, </w:t>
      </w:r>
      <w:r w:rsidR="00AD6E42" w:rsidRPr="00625DF1">
        <w:rPr>
          <w:rFonts w:cs="Arial"/>
          <w:color w:val="000000"/>
          <w:sz w:val="22"/>
          <w:szCs w:val="22"/>
        </w:rPr>
        <w:t xml:space="preserve">por un plazo de hasta 25 </w:t>
      </w:r>
      <w:r w:rsidR="00AD6E42" w:rsidRPr="00625DF1">
        <w:rPr>
          <w:rFonts w:cs="Arial"/>
          <w:sz w:val="22"/>
          <w:szCs w:val="22"/>
        </w:rPr>
        <w:t xml:space="preserve">(veinticinco) </w:t>
      </w:r>
      <w:r w:rsidR="00AD6E42" w:rsidRPr="00625DF1">
        <w:rPr>
          <w:rFonts w:cs="Arial"/>
          <w:color w:val="000000"/>
          <w:sz w:val="22"/>
          <w:szCs w:val="22"/>
        </w:rPr>
        <w:t>años o su equivalente en meses y/o días según corresponda, contados a partir de la primera disposición de recursos de cada uno de los financiamientos bancarios o de cada colocación de los valores derivados de los financiamientos bursátiles, según corresponda o su equivalente en Unidades de Inversión, al momento de la celebración del o de los instrumentos correspondientes, mismos que deberán ser destinados a inversión pública productiva en términos de la Ley de Disciplina Financiera de las Entidades Federativas y los Municipios y del Código Financiero del Estado de México y Municipios.</w:t>
      </w:r>
    </w:p>
    <w:p w14:paraId="12152BE4" w14:textId="77777777" w:rsidR="00AD6E42" w:rsidRPr="00EC62CE" w:rsidRDefault="00AD6E42" w:rsidP="0087591E">
      <w:pPr>
        <w:spacing w:line="276" w:lineRule="auto"/>
        <w:rPr>
          <w:rFonts w:cs="Arial"/>
          <w:color w:val="000000"/>
          <w:sz w:val="8"/>
          <w:szCs w:val="8"/>
        </w:rPr>
      </w:pPr>
    </w:p>
    <w:p w14:paraId="03F1ED3E" w14:textId="3B8734C6" w:rsidR="0087591E" w:rsidRPr="00625DF1" w:rsidRDefault="0087591E" w:rsidP="0087591E">
      <w:pPr>
        <w:spacing w:line="276" w:lineRule="auto"/>
        <w:rPr>
          <w:sz w:val="22"/>
          <w:szCs w:val="22"/>
        </w:rPr>
      </w:pPr>
      <w:r w:rsidRPr="00625DF1">
        <w:rPr>
          <w:sz w:val="22"/>
          <w:szCs w:val="22"/>
        </w:rPr>
        <w:lastRenderedPageBreak/>
        <w:t xml:space="preserve">En ese sentido, tal y como se estipula en la Ley de Ingresos del Estado de México vigente, en la presente Iniciativa se establece que, a efecto de mantener la </w:t>
      </w:r>
      <w:r w:rsidR="009B5CE3" w:rsidRPr="00625DF1">
        <w:rPr>
          <w:sz w:val="22"/>
          <w:szCs w:val="22"/>
        </w:rPr>
        <w:t>D</w:t>
      </w:r>
      <w:r w:rsidRPr="00625DF1">
        <w:rPr>
          <w:sz w:val="22"/>
          <w:szCs w:val="22"/>
        </w:rPr>
        <w:t xml:space="preserve">euda </w:t>
      </w:r>
      <w:r w:rsidR="009B5CE3" w:rsidRPr="00625DF1">
        <w:rPr>
          <w:sz w:val="22"/>
          <w:szCs w:val="22"/>
        </w:rPr>
        <w:t>P</w:t>
      </w:r>
      <w:r w:rsidRPr="00625DF1">
        <w:rPr>
          <w:sz w:val="22"/>
          <w:szCs w:val="22"/>
        </w:rPr>
        <w:t xml:space="preserve">ública de la Entidad en un nivel responsable, el saldo de la misma, al cierre del </w:t>
      </w:r>
      <w:r w:rsidR="009B5CE3" w:rsidRPr="00625DF1">
        <w:rPr>
          <w:sz w:val="22"/>
          <w:szCs w:val="22"/>
        </w:rPr>
        <w:t>E</w:t>
      </w:r>
      <w:r w:rsidRPr="00625DF1">
        <w:rPr>
          <w:sz w:val="22"/>
          <w:szCs w:val="22"/>
        </w:rPr>
        <w:t xml:space="preserve">jercicio </w:t>
      </w:r>
      <w:r w:rsidR="009B5CE3" w:rsidRPr="00625DF1">
        <w:rPr>
          <w:sz w:val="22"/>
          <w:szCs w:val="22"/>
        </w:rPr>
        <w:t>F</w:t>
      </w:r>
      <w:r w:rsidRPr="00625DF1">
        <w:rPr>
          <w:sz w:val="22"/>
          <w:szCs w:val="22"/>
        </w:rPr>
        <w:t>iscal 2023, no deberá rebasar el techo de financiamiento establecido en la Ley de Disciplina Financiera de las Entidades Federativas y los Municipios, al tiempo de cumplir lo señalado en el artículo 260 Ter del Código Financiero del Estado de México y Municipios.</w:t>
      </w:r>
    </w:p>
    <w:p w14:paraId="73271473" w14:textId="77777777" w:rsidR="0087591E" w:rsidRPr="00EC62CE" w:rsidRDefault="0087591E" w:rsidP="0087591E">
      <w:pPr>
        <w:spacing w:line="276" w:lineRule="auto"/>
        <w:rPr>
          <w:sz w:val="16"/>
          <w:szCs w:val="16"/>
        </w:rPr>
      </w:pPr>
    </w:p>
    <w:p w14:paraId="3D487112" w14:textId="33CCEC5B" w:rsidR="0087591E" w:rsidRPr="00625DF1" w:rsidRDefault="0087591E" w:rsidP="0087591E">
      <w:pPr>
        <w:spacing w:after="240" w:line="276" w:lineRule="auto"/>
        <w:rPr>
          <w:sz w:val="22"/>
          <w:szCs w:val="22"/>
        </w:rPr>
      </w:pPr>
      <w:r w:rsidRPr="00625DF1">
        <w:rPr>
          <w:sz w:val="22"/>
          <w:szCs w:val="22"/>
        </w:rPr>
        <w:t xml:space="preserve">En cuanto a los Organismos Auxiliares del Gobierno del Estado en su conjunto, no se solicita autorización para contratar </w:t>
      </w:r>
      <w:r w:rsidR="009B5CE3" w:rsidRPr="00625DF1">
        <w:rPr>
          <w:sz w:val="22"/>
          <w:szCs w:val="22"/>
        </w:rPr>
        <w:t>D</w:t>
      </w:r>
      <w:r w:rsidRPr="00625DF1">
        <w:rPr>
          <w:sz w:val="22"/>
          <w:szCs w:val="22"/>
        </w:rPr>
        <w:t xml:space="preserve">euda </w:t>
      </w:r>
      <w:r w:rsidR="009B5CE3" w:rsidRPr="00625DF1">
        <w:rPr>
          <w:sz w:val="22"/>
          <w:szCs w:val="22"/>
        </w:rPr>
        <w:t>P</w:t>
      </w:r>
      <w:r w:rsidRPr="00625DF1">
        <w:rPr>
          <w:sz w:val="22"/>
          <w:szCs w:val="22"/>
        </w:rPr>
        <w:t xml:space="preserve">ública, durante el </w:t>
      </w:r>
      <w:r w:rsidR="009B5CE3" w:rsidRPr="00625DF1">
        <w:rPr>
          <w:sz w:val="22"/>
          <w:szCs w:val="22"/>
        </w:rPr>
        <w:t>E</w:t>
      </w:r>
      <w:r w:rsidRPr="00625DF1">
        <w:rPr>
          <w:sz w:val="22"/>
          <w:szCs w:val="22"/>
        </w:rPr>
        <w:t xml:space="preserve">jercicio </w:t>
      </w:r>
      <w:r w:rsidR="009B5CE3" w:rsidRPr="00625DF1">
        <w:rPr>
          <w:sz w:val="22"/>
          <w:szCs w:val="22"/>
        </w:rPr>
        <w:t>F</w:t>
      </w:r>
      <w:r w:rsidRPr="00625DF1">
        <w:rPr>
          <w:sz w:val="22"/>
          <w:szCs w:val="22"/>
        </w:rPr>
        <w:t>iscal 2023. Por ello, los Organismos Auxiliares solo podrán refinanciar, reestructurar y/o recontratar créditos u obligaciones de garantía o pago si las condiciones del mercado son adecuadas.</w:t>
      </w:r>
    </w:p>
    <w:p w14:paraId="672B558D" w14:textId="294499DD" w:rsidR="000513EC" w:rsidRPr="00625DF1" w:rsidRDefault="000513EC" w:rsidP="006732B9">
      <w:pPr>
        <w:pStyle w:val="Ttulo2"/>
        <w:spacing w:before="0"/>
        <w:rPr>
          <w:b/>
          <w:bCs/>
          <w:sz w:val="22"/>
          <w:szCs w:val="22"/>
        </w:rPr>
      </w:pPr>
      <w:r w:rsidRPr="00625DF1">
        <w:rPr>
          <w:b/>
          <w:bCs/>
          <w:sz w:val="22"/>
          <w:szCs w:val="22"/>
        </w:rPr>
        <w:t>Riesgos para la estimación</w:t>
      </w:r>
    </w:p>
    <w:p w14:paraId="047DF2B2" w14:textId="77777777" w:rsidR="00486F30" w:rsidRPr="00EC62CE" w:rsidRDefault="00486F30" w:rsidP="00074AD8">
      <w:pPr>
        <w:rPr>
          <w:sz w:val="16"/>
          <w:szCs w:val="16"/>
        </w:rPr>
      </w:pPr>
    </w:p>
    <w:p w14:paraId="4A605911" w14:textId="03288787" w:rsidR="00486F30" w:rsidRPr="00EC62CE" w:rsidRDefault="000513EC" w:rsidP="00047744">
      <w:pPr>
        <w:rPr>
          <w:sz w:val="16"/>
          <w:szCs w:val="16"/>
        </w:rPr>
      </w:pPr>
      <w:r w:rsidRPr="00625DF1">
        <w:rPr>
          <w:sz w:val="22"/>
          <w:szCs w:val="22"/>
        </w:rPr>
        <w:t xml:space="preserve">Las estimaciones establecidas en los Criterios Generales de Política Económica, al considerar como base la evolución observada de los principales indicadores, así como las proyecciones de especialistas, se encuentran sujetas a choques macroeconómicos internos o externos que podrían desviarlas del comportamiento real que presente la economía en </w:t>
      </w:r>
      <w:r w:rsidR="00640134" w:rsidRPr="00625DF1">
        <w:rPr>
          <w:sz w:val="22"/>
          <w:szCs w:val="22"/>
        </w:rPr>
        <w:t>2023</w:t>
      </w:r>
      <w:r w:rsidRPr="00625DF1">
        <w:rPr>
          <w:sz w:val="22"/>
          <w:szCs w:val="22"/>
        </w:rPr>
        <w:t>.</w:t>
      </w:r>
      <w:r w:rsidR="002D1B81" w:rsidRPr="00625DF1">
        <w:rPr>
          <w:sz w:val="22"/>
          <w:szCs w:val="22"/>
        </w:rPr>
        <w:t xml:space="preserve"> En particular, c</w:t>
      </w:r>
      <w:r w:rsidRPr="00625DF1">
        <w:rPr>
          <w:sz w:val="22"/>
          <w:szCs w:val="22"/>
        </w:rPr>
        <w:t xml:space="preserve">onsiderando los acontecimientos tanto nacionales como internacionales que se han presentado durante </w:t>
      </w:r>
      <w:r w:rsidR="00047744" w:rsidRPr="00625DF1">
        <w:rPr>
          <w:sz w:val="22"/>
          <w:szCs w:val="22"/>
        </w:rPr>
        <w:t>2022</w:t>
      </w:r>
      <w:r w:rsidR="002D1B81" w:rsidRPr="00625DF1">
        <w:rPr>
          <w:sz w:val="22"/>
          <w:szCs w:val="22"/>
        </w:rPr>
        <w:t xml:space="preserve"> relacionados con </w:t>
      </w:r>
      <w:r w:rsidR="00047744" w:rsidRPr="00625DF1">
        <w:rPr>
          <w:sz w:val="22"/>
          <w:szCs w:val="22"/>
        </w:rPr>
        <w:t>el incremento persistente de los precios</w:t>
      </w:r>
      <w:r w:rsidRPr="00625DF1">
        <w:rPr>
          <w:sz w:val="22"/>
          <w:szCs w:val="22"/>
        </w:rPr>
        <w:t>,</w:t>
      </w:r>
      <w:r w:rsidR="00047744" w:rsidRPr="00625DF1">
        <w:rPr>
          <w:sz w:val="22"/>
          <w:szCs w:val="22"/>
        </w:rPr>
        <w:t xml:space="preserve"> </w:t>
      </w:r>
      <w:r w:rsidR="006F61BE" w:rsidRPr="00625DF1">
        <w:rPr>
          <w:sz w:val="22"/>
          <w:szCs w:val="22"/>
        </w:rPr>
        <w:t xml:space="preserve">representa un riesgo </w:t>
      </w:r>
      <w:r w:rsidR="002D1B81" w:rsidRPr="00625DF1">
        <w:rPr>
          <w:sz w:val="22"/>
          <w:szCs w:val="22"/>
        </w:rPr>
        <w:t xml:space="preserve">para la </w:t>
      </w:r>
      <w:r w:rsidR="00920938" w:rsidRPr="00625DF1">
        <w:rPr>
          <w:sz w:val="22"/>
          <w:szCs w:val="22"/>
        </w:rPr>
        <w:t xml:space="preserve">economía </w:t>
      </w:r>
      <w:r w:rsidR="002D1B81" w:rsidRPr="00625DF1">
        <w:rPr>
          <w:sz w:val="22"/>
          <w:szCs w:val="22"/>
        </w:rPr>
        <w:t xml:space="preserve">mundial </w:t>
      </w:r>
      <w:r w:rsidR="00047744" w:rsidRPr="00625DF1">
        <w:rPr>
          <w:sz w:val="22"/>
          <w:szCs w:val="22"/>
        </w:rPr>
        <w:t>la intensificación de las afectaciones a las cadenas de suministro, conduciendo a escasez de insumos, mayores costos de producción y mayores presiones inflacionarias</w:t>
      </w:r>
      <w:r w:rsidR="006F61BE" w:rsidRPr="00625DF1">
        <w:rPr>
          <w:sz w:val="22"/>
          <w:szCs w:val="22"/>
        </w:rPr>
        <w:t>.</w:t>
      </w:r>
      <w:r w:rsidR="006F61BE" w:rsidRPr="00625DF1">
        <w:rPr>
          <w:sz w:val="22"/>
          <w:szCs w:val="22"/>
        </w:rPr>
        <w:cr/>
      </w:r>
    </w:p>
    <w:p w14:paraId="6D45C773" w14:textId="0ABC9DB7" w:rsidR="000513EC" w:rsidRPr="00625DF1" w:rsidRDefault="000513EC" w:rsidP="00074AD8">
      <w:pPr>
        <w:rPr>
          <w:sz w:val="22"/>
          <w:szCs w:val="22"/>
        </w:rPr>
      </w:pPr>
      <w:r w:rsidRPr="00625DF1">
        <w:rPr>
          <w:sz w:val="22"/>
          <w:szCs w:val="22"/>
        </w:rPr>
        <w:t>De igual forma, la exacerbación de dicho riesgo pudiera generar un impacto individual sobre las variables macroeconómicas de la siguiente manera:</w:t>
      </w:r>
    </w:p>
    <w:p w14:paraId="290184A9" w14:textId="77777777" w:rsidR="00486F30" w:rsidRPr="00EC62CE" w:rsidRDefault="00486F30" w:rsidP="00074AD8">
      <w:pPr>
        <w:rPr>
          <w:sz w:val="16"/>
          <w:szCs w:val="16"/>
        </w:rPr>
      </w:pPr>
    </w:p>
    <w:p w14:paraId="3A4B00DD" w14:textId="4B16EDF1" w:rsidR="000513EC" w:rsidRPr="00625DF1" w:rsidRDefault="00724D87" w:rsidP="00074AD8">
      <w:pPr>
        <w:pStyle w:val="Prrafodelista"/>
        <w:numPr>
          <w:ilvl w:val="0"/>
          <w:numId w:val="1"/>
        </w:numPr>
        <w:rPr>
          <w:sz w:val="22"/>
          <w:szCs w:val="22"/>
        </w:rPr>
      </w:pPr>
      <w:r w:rsidRPr="00625DF1">
        <w:rPr>
          <w:sz w:val="22"/>
          <w:szCs w:val="22"/>
        </w:rPr>
        <w:t>Un n</w:t>
      </w:r>
      <w:r w:rsidR="000513EC" w:rsidRPr="00625DF1">
        <w:rPr>
          <w:sz w:val="22"/>
          <w:szCs w:val="22"/>
        </w:rPr>
        <w:t xml:space="preserve">ivel de crecimiento menor al </w:t>
      </w:r>
      <w:r w:rsidR="006C6976" w:rsidRPr="00625DF1">
        <w:rPr>
          <w:sz w:val="22"/>
          <w:szCs w:val="22"/>
        </w:rPr>
        <w:t>1.2</w:t>
      </w:r>
      <w:r w:rsidR="000513EC" w:rsidRPr="00625DF1">
        <w:rPr>
          <w:sz w:val="22"/>
          <w:szCs w:val="22"/>
        </w:rPr>
        <w:t xml:space="preserve"> </w:t>
      </w:r>
      <w:r w:rsidR="002B1DE9" w:rsidRPr="00625DF1">
        <w:rPr>
          <w:sz w:val="22"/>
          <w:szCs w:val="22"/>
        </w:rPr>
        <w:t xml:space="preserve">por ciento </w:t>
      </w:r>
      <w:r w:rsidR="000513EC" w:rsidRPr="00625DF1">
        <w:rPr>
          <w:sz w:val="22"/>
          <w:szCs w:val="22"/>
        </w:rPr>
        <w:t>reducirá los ingresos públicos debido a una menor recaudación fiscal de IVA, ISR y otros.</w:t>
      </w:r>
    </w:p>
    <w:p w14:paraId="6A6D0456" w14:textId="77777777" w:rsidR="000513EC" w:rsidRPr="00625DF1" w:rsidRDefault="000513EC" w:rsidP="00074AD8">
      <w:pPr>
        <w:pStyle w:val="Prrafodelista"/>
        <w:numPr>
          <w:ilvl w:val="0"/>
          <w:numId w:val="1"/>
        </w:numPr>
        <w:rPr>
          <w:sz w:val="22"/>
          <w:szCs w:val="22"/>
        </w:rPr>
      </w:pPr>
      <w:r w:rsidRPr="00625DF1">
        <w:rPr>
          <w:sz w:val="22"/>
          <w:szCs w:val="22"/>
        </w:rPr>
        <w:t>Una menor plataforma de producción de petróleo y/o la disminución del precio promedio del petróleo reducirá los ingresos petroleros.</w:t>
      </w:r>
    </w:p>
    <w:p w14:paraId="16FFFB68" w14:textId="77777777" w:rsidR="00B6024C" w:rsidRPr="00625DF1" w:rsidRDefault="000513EC" w:rsidP="006732B9">
      <w:pPr>
        <w:pStyle w:val="Prrafodelista"/>
        <w:numPr>
          <w:ilvl w:val="0"/>
          <w:numId w:val="1"/>
        </w:numPr>
        <w:rPr>
          <w:sz w:val="22"/>
          <w:szCs w:val="22"/>
        </w:rPr>
      </w:pPr>
      <w:r w:rsidRPr="00625DF1">
        <w:rPr>
          <w:sz w:val="22"/>
          <w:szCs w:val="22"/>
        </w:rPr>
        <w:t>El incremento del tipo de cambio nominal peso/dólar reducirá los ingresos petroleros debido a que una proporción elevada de los mismos está asociada a las exportaciones de crudo.</w:t>
      </w:r>
    </w:p>
    <w:p w14:paraId="6EAE57DB" w14:textId="755C7C4D" w:rsidR="00705331" w:rsidRPr="00625DF1" w:rsidRDefault="00705331" w:rsidP="00B6024C">
      <w:pPr>
        <w:rPr>
          <w:sz w:val="22"/>
          <w:szCs w:val="22"/>
        </w:rPr>
      </w:pPr>
      <w:r w:rsidRPr="00625DF1">
        <w:rPr>
          <w:b/>
          <w:bCs/>
          <w:sz w:val="22"/>
          <w:szCs w:val="22"/>
        </w:rPr>
        <w:t>Aspectos relevantes</w:t>
      </w:r>
    </w:p>
    <w:p w14:paraId="316D68A4" w14:textId="77777777" w:rsidR="00705331" w:rsidRPr="00625DF1" w:rsidRDefault="00705331" w:rsidP="00705331">
      <w:pPr>
        <w:autoSpaceDE w:val="0"/>
        <w:autoSpaceDN w:val="0"/>
        <w:adjustRightInd w:val="0"/>
        <w:rPr>
          <w:b/>
          <w:sz w:val="22"/>
          <w:szCs w:val="22"/>
        </w:rPr>
      </w:pPr>
    </w:p>
    <w:p w14:paraId="4D542DA0" w14:textId="7987B355" w:rsidR="00705331" w:rsidRPr="00625DF1" w:rsidRDefault="00705331" w:rsidP="00705331">
      <w:pPr>
        <w:autoSpaceDE w:val="0"/>
        <w:autoSpaceDN w:val="0"/>
        <w:adjustRightInd w:val="0"/>
        <w:rPr>
          <w:sz w:val="22"/>
          <w:szCs w:val="22"/>
          <w:shd w:val="clear" w:color="auto" w:fill="FFFFFF"/>
        </w:rPr>
      </w:pPr>
      <w:r w:rsidRPr="00625DF1">
        <w:rPr>
          <w:sz w:val="22"/>
          <w:szCs w:val="22"/>
          <w:shd w:val="clear" w:color="auto" w:fill="FFFFFF"/>
        </w:rPr>
        <w:t>La Ley que se somete a su</w:t>
      </w:r>
      <w:r w:rsidR="009B5CE3" w:rsidRPr="00625DF1">
        <w:rPr>
          <w:sz w:val="22"/>
          <w:szCs w:val="22"/>
          <w:shd w:val="clear" w:color="auto" w:fill="FFFFFF"/>
        </w:rPr>
        <w:t xml:space="preserve"> </w:t>
      </w:r>
      <w:r w:rsidRPr="00625DF1">
        <w:rPr>
          <w:sz w:val="22"/>
          <w:szCs w:val="22"/>
          <w:shd w:val="clear" w:color="auto" w:fill="FFFFFF"/>
        </w:rPr>
        <w:t xml:space="preserve">consideración mediante la presente Iniciativa, conserva las tasas por el pago extemporáneo de créditos fiscales, por pago en prórrogas y de actualización, a fin de mantener los valores reales de los créditos fiscales de acuerdo con los cambios de precios en el país y a la situación en el resto de las </w:t>
      </w:r>
      <w:r w:rsidR="00DB37B0" w:rsidRPr="00625DF1">
        <w:rPr>
          <w:sz w:val="22"/>
          <w:szCs w:val="22"/>
          <w:shd w:val="clear" w:color="auto" w:fill="FFFFFF"/>
        </w:rPr>
        <w:t>E</w:t>
      </w:r>
      <w:r w:rsidRPr="00625DF1">
        <w:rPr>
          <w:sz w:val="22"/>
          <w:szCs w:val="22"/>
          <w:shd w:val="clear" w:color="auto" w:fill="FFFFFF"/>
        </w:rPr>
        <w:t xml:space="preserve">ntidades </w:t>
      </w:r>
      <w:r w:rsidR="00DB37B0" w:rsidRPr="00625DF1">
        <w:rPr>
          <w:sz w:val="22"/>
          <w:szCs w:val="22"/>
          <w:shd w:val="clear" w:color="auto" w:fill="FFFFFF"/>
        </w:rPr>
        <w:t>F</w:t>
      </w:r>
      <w:r w:rsidRPr="00625DF1">
        <w:rPr>
          <w:sz w:val="22"/>
          <w:szCs w:val="22"/>
          <w:shd w:val="clear" w:color="auto" w:fill="FFFFFF"/>
        </w:rPr>
        <w:t>ederativas.</w:t>
      </w:r>
    </w:p>
    <w:p w14:paraId="316728FE" w14:textId="77777777" w:rsidR="00705331" w:rsidRPr="00EC62CE" w:rsidRDefault="00705331" w:rsidP="00705331">
      <w:pPr>
        <w:autoSpaceDE w:val="0"/>
        <w:autoSpaceDN w:val="0"/>
        <w:adjustRightInd w:val="0"/>
        <w:rPr>
          <w:sz w:val="10"/>
          <w:szCs w:val="10"/>
          <w:shd w:val="clear" w:color="auto" w:fill="FFFFFF"/>
        </w:rPr>
      </w:pPr>
    </w:p>
    <w:p w14:paraId="5D9C7841" w14:textId="52548DCB" w:rsidR="00705331" w:rsidRPr="00625DF1" w:rsidRDefault="00705331" w:rsidP="00E235B1">
      <w:pPr>
        <w:autoSpaceDE w:val="0"/>
        <w:autoSpaceDN w:val="0"/>
        <w:adjustRightInd w:val="0"/>
        <w:spacing w:after="240"/>
        <w:rPr>
          <w:sz w:val="22"/>
          <w:szCs w:val="22"/>
          <w:shd w:val="clear" w:color="auto" w:fill="FFFFFF"/>
        </w:rPr>
      </w:pPr>
      <w:r w:rsidRPr="00625DF1">
        <w:rPr>
          <w:sz w:val="22"/>
          <w:szCs w:val="22"/>
          <w:shd w:val="clear" w:color="auto" w:fill="FFFFFF"/>
        </w:rPr>
        <w:lastRenderedPageBreak/>
        <w:t xml:space="preserve">En una medida similar, a fin de mantener un crecimiento constante en la recaudación por concepto de Derechos, se conserva </w:t>
      </w:r>
      <w:r w:rsidR="00087A9E" w:rsidRPr="00625DF1">
        <w:rPr>
          <w:sz w:val="22"/>
          <w:szCs w:val="22"/>
          <w:shd w:val="clear" w:color="auto" w:fill="FFFFFF"/>
        </w:rPr>
        <w:t xml:space="preserve">en un valor igual a 1.060 </w:t>
      </w:r>
      <w:r w:rsidRPr="00625DF1">
        <w:rPr>
          <w:sz w:val="22"/>
          <w:szCs w:val="22"/>
          <w:shd w:val="clear" w:color="auto" w:fill="FFFFFF"/>
        </w:rPr>
        <w:t>el factor de actualización al que se hace referencia en el artículo 70 del Código Financiero del Estado de México y Municipios.</w:t>
      </w:r>
    </w:p>
    <w:p w14:paraId="281E2547" w14:textId="7F7D00C5" w:rsidR="000513EC" w:rsidRPr="00625DF1" w:rsidRDefault="00284B26" w:rsidP="00D8692B">
      <w:pPr>
        <w:pStyle w:val="Ttulo3"/>
        <w:numPr>
          <w:ilvl w:val="0"/>
          <w:numId w:val="28"/>
        </w:numPr>
        <w:spacing w:before="0"/>
        <w:rPr>
          <w:rFonts w:ascii="HelveticaNeueLT Std" w:hAnsi="HelveticaNeueLT Std"/>
          <w:b/>
          <w:bCs/>
          <w:color w:val="auto"/>
          <w:sz w:val="22"/>
          <w:szCs w:val="22"/>
        </w:rPr>
      </w:pPr>
      <w:r w:rsidRPr="00625DF1">
        <w:rPr>
          <w:rFonts w:ascii="HelveticaNeueLT Std" w:hAnsi="HelveticaNeueLT Std"/>
          <w:b/>
          <w:bCs/>
          <w:color w:val="auto"/>
          <w:sz w:val="22"/>
          <w:szCs w:val="22"/>
        </w:rPr>
        <w:t>Beneficios fiscales</w:t>
      </w:r>
    </w:p>
    <w:p w14:paraId="7FEEB27B" w14:textId="77777777" w:rsidR="006F77C9" w:rsidRPr="00625DF1" w:rsidRDefault="006F77C9" w:rsidP="00DB7151">
      <w:pPr>
        <w:autoSpaceDE w:val="0"/>
        <w:autoSpaceDN w:val="0"/>
        <w:adjustRightInd w:val="0"/>
        <w:rPr>
          <w:sz w:val="22"/>
          <w:szCs w:val="22"/>
          <w:shd w:val="clear" w:color="auto" w:fill="FFFFFF"/>
        </w:rPr>
      </w:pPr>
    </w:p>
    <w:p w14:paraId="7855D442" w14:textId="0F5D27A6" w:rsidR="00DB7151" w:rsidRPr="00625DF1" w:rsidRDefault="00DB7151" w:rsidP="00DB7151">
      <w:pPr>
        <w:autoSpaceDE w:val="0"/>
        <w:autoSpaceDN w:val="0"/>
        <w:adjustRightInd w:val="0"/>
        <w:rPr>
          <w:sz w:val="22"/>
          <w:szCs w:val="22"/>
          <w:shd w:val="clear" w:color="auto" w:fill="FFFFFF"/>
        </w:rPr>
      </w:pPr>
      <w:r w:rsidRPr="00625DF1">
        <w:rPr>
          <w:sz w:val="22"/>
          <w:szCs w:val="22"/>
          <w:shd w:val="clear" w:color="auto" w:fill="FFFFFF"/>
        </w:rPr>
        <w:t xml:space="preserve">La </w:t>
      </w:r>
      <w:r w:rsidR="00CE14E8" w:rsidRPr="00625DF1">
        <w:rPr>
          <w:sz w:val="22"/>
          <w:szCs w:val="22"/>
          <w:shd w:val="clear" w:color="auto" w:fill="FFFFFF"/>
        </w:rPr>
        <w:t>actual</w:t>
      </w:r>
      <w:r w:rsidRPr="00625DF1">
        <w:rPr>
          <w:sz w:val="22"/>
          <w:szCs w:val="22"/>
          <w:shd w:val="clear" w:color="auto" w:fill="FFFFFF"/>
        </w:rPr>
        <w:t xml:space="preserve"> administración que me honro encabezar considera importante mantener los tratamientos preferenciales </w:t>
      </w:r>
      <w:r w:rsidR="00137F46" w:rsidRPr="00625DF1">
        <w:rPr>
          <w:sz w:val="22"/>
          <w:szCs w:val="22"/>
          <w:shd w:val="clear" w:color="auto" w:fill="FFFFFF"/>
        </w:rPr>
        <w:t xml:space="preserve">en apoyo </w:t>
      </w:r>
      <w:r w:rsidRPr="00625DF1">
        <w:rPr>
          <w:sz w:val="22"/>
          <w:szCs w:val="22"/>
          <w:shd w:val="clear" w:color="auto" w:fill="FFFFFF"/>
        </w:rPr>
        <w:t xml:space="preserve">a </w:t>
      </w:r>
      <w:r w:rsidR="00380BC1" w:rsidRPr="00625DF1">
        <w:rPr>
          <w:sz w:val="22"/>
          <w:szCs w:val="22"/>
          <w:shd w:val="clear" w:color="auto" w:fill="FFFFFF"/>
        </w:rPr>
        <w:t>diversos</w:t>
      </w:r>
      <w:r w:rsidRPr="00625DF1">
        <w:rPr>
          <w:sz w:val="22"/>
          <w:szCs w:val="22"/>
          <w:shd w:val="clear" w:color="auto" w:fill="FFFFFF"/>
        </w:rPr>
        <w:t xml:space="preserve"> segmentos de la población. Por un lado, se mantiene el subsidio del 100 por ciento en el pago de Derechos por servicios de transmisiones y otorgamientos de créditos para la adquisición y construcción de la vivienda social, prestados por el Instituto de la Función Registral del Estado de México</w:t>
      </w:r>
      <w:r w:rsidR="00380BC1" w:rsidRPr="00625DF1">
        <w:rPr>
          <w:sz w:val="22"/>
          <w:szCs w:val="22"/>
          <w:shd w:val="clear" w:color="auto" w:fill="FFFFFF"/>
        </w:rPr>
        <w:t>,</w:t>
      </w:r>
      <w:r w:rsidRPr="00625DF1">
        <w:rPr>
          <w:sz w:val="22"/>
          <w:szCs w:val="22"/>
          <w:shd w:val="clear" w:color="auto" w:fill="FFFFFF"/>
        </w:rPr>
        <w:t xml:space="preserve"> </w:t>
      </w:r>
      <w:r w:rsidR="00380BC1" w:rsidRPr="00625DF1">
        <w:rPr>
          <w:sz w:val="22"/>
          <w:szCs w:val="22"/>
          <w:shd w:val="clear" w:color="auto" w:fill="FFFFFF"/>
        </w:rPr>
        <w:t>lo cual</w:t>
      </w:r>
      <w:r w:rsidRPr="00625DF1">
        <w:rPr>
          <w:sz w:val="22"/>
          <w:szCs w:val="22"/>
          <w:shd w:val="clear" w:color="auto" w:fill="FFFFFF"/>
        </w:rPr>
        <w:t xml:space="preserve"> busca simplificar la carga fiscal para la adquisición de vivienda de interés social, social progresiva y popular. Este beneficio incluye la publicación sin costo de los edictos correspondientes en el Periódico Oficial “Gaceta del Gobierno”.</w:t>
      </w:r>
    </w:p>
    <w:p w14:paraId="0FBCEA48" w14:textId="77777777" w:rsidR="00DB7151" w:rsidRPr="00625DF1" w:rsidRDefault="00DB7151" w:rsidP="00DB7151">
      <w:pPr>
        <w:autoSpaceDE w:val="0"/>
        <w:autoSpaceDN w:val="0"/>
        <w:adjustRightInd w:val="0"/>
        <w:ind w:left="360"/>
        <w:rPr>
          <w:sz w:val="22"/>
          <w:szCs w:val="22"/>
          <w:shd w:val="clear" w:color="auto" w:fill="FFFFFF"/>
        </w:rPr>
      </w:pPr>
    </w:p>
    <w:p w14:paraId="5D747AD6" w14:textId="02ECC895" w:rsidR="00DB7151" w:rsidRPr="00625DF1" w:rsidRDefault="00380BC1" w:rsidP="00DB7151">
      <w:pPr>
        <w:autoSpaceDE w:val="0"/>
        <w:autoSpaceDN w:val="0"/>
        <w:adjustRightInd w:val="0"/>
        <w:rPr>
          <w:sz w:val="22"/>
          <w:szCs w:val="22"/>
          <w:shd w:val="clear" w:color="auto" w:fill="FFFFFF"/>
        </w:rPr>
      </w:pPr>
      <w:r w:rsidRPr="00625DF1">
        <w:rPr>
          <w:sz w:val="22"/>
          <w:szCs w:val="22"/>
          <w:shd w:val="clear" w:color="auto" w:fill="FFFFFF"/>
        </w:rPr>
        <w:t>P</w:t>
      </w:r>
      <w:r w:rsidR="00DB7151" w:rsidRPr="00625DF1">
        <w:rPr>
          <w:sz w:val="22"/>
          <w:szCs w:val="22"/>
          <w:shd w:val="clear" w:color="auto" w:fill="FFFFFF"/>
        </w:rPr>
        <w:t xml:space="preserve">ara fomentar el establecimiento de comercios que puedan fortalecer la economía estatal, se mantiene la previsión de otorgar un subsidio del 100 por ciento en el pago de Derechos por </w:t>
      </w:r>
      <w:r w:rsidR="00C13B54" w:rsidRPr="00625DF1">
        <w:rPr>
          <w:sz w:val="22"/>
          <w:szCs w:val="22"/>
          <w:shd w:val="clear" w:color="auto" w:fill="FFFFFF"/>
        </w:rPr>
        <w:t>S</w:t>
      </w:r>
      <w:r w:rsidR="00DB7151" w:rsidRPr="00625DF1">
        <w:rPr>
          <w:sz w:val="22"/>
          <w:szCs w:val="22"/>
          <w:shd w:val="clear" w:color="auto" w:fill="FFFFFF"/>
        </w:rPr>
        <w:t>ervicios del Certificado de Libertad o Existencia de Gravámenes y la Inscripción relativa a la propiedad de inmuebles destinados a la apertura de Unidades Económicas de Bajo Impacto, con superficie menor a los 2,000 metros cuadrados.</w:t>
      </w:r>
    </w:p>
    <w:p w14:paraId="589943CD" w14:textId="77777777" w:rsidR="00DB7151" w:rsidRPr="00625DF1" w:rsidRDefault="00DB7151" w:rsidP="00DB7151">
      <w:pPr>
        <w:autoSpaceDE w:val="0"/>
        <w:autoSpaceDN w:val="0"/>
        <w:adjustRightInd w:val="0"/>
        <w:ind w:left="360"/>
        <w:rPr>
          <w:sz w:val="22"/>
          <w:szCs w:val="22"/>
          <w:shd w:val="clear" w:color="auto" w:fill="FFFFFF"/>
        </w:rPr>
      </w:pPr>
    </w:p>
    <w:p w14:paraId="56EBF4C5" w14:textId="77777777" w:rsidR="00380BC1" w:rsidRPr="00625DF1" w:rsidRDefault="00DB7151" w:rsidP="00DB7151">
      <w:pPr>
        <w:autoSpaceDE w:val="0"/>
        <w:autoSpaceDN w:val="0"/>
        <w:adjustRightInd w:val="0"/>
        <w:rPr>
          <w:sz w:val="22"/>
          <w:szCs w:val="22"/>
          <w:shd w:val="clear" w:color="auto" w:fill="FFFFFF"/>
        </w:rPr>
      </w:pPr>
      <w:r w:rsidRPr="00625DF1">
        <w:rPr>
          <w:sz w:val="22"/>
          <w:szCs w:val="22"/>
          <w:shd w:val="clear" w:color="auto" w:fill="FFFFFF"/>
        </w:rPr>
        <w:t xml:space="preserve">Por su parte, considerando el panorama del mercado laboral de la Entidad en el presente año, se mantiene el subsidio del 100 por ciento en el pago del Impuesto sobre Erogaciones por Remuneraciones al Trabajo Personal, </w:t>
      </w:r>
      <w:r w:rsidR="00380BC1" w:rsidRPr="00625DF1">
        <w:rPr>
          <w:sz w:val="22"/>
          <w:szCs w:val="22"/>
          <w:shd w:val="clear" w:color="auto" w:fill="FFFFFF"/>
        </w:rPr>
        <w:t>a los siguientes contribuyentes:</w:t>
      </w:r>
    </w:p>
    <w:p w14:paraId="41CAE0E9" w14:textId="77777777" w:rsidR="00380BC1" w:rsidRPr="00625DF1" w:rsidRDefault="00380BC1" w:rsidP="00DB7151">
      <w:pPr>
        <w:autoSpaceDE w:val="0"/>
        <w:autoSpaceDN w:val="0"/>
        <w:adjustRightInd w:val="0"/>
        <w:rPr>
          <w:sz w:val="22"/>
          <w:szCs w:val="22"/>
          <w:highlight w:val="yellow"/>
          <w:shd w:val="clear" w:color="auto" w:fill="FFFFFF"/>
        </w:rPr>
      </w:pPr>
    </w:p>
    <w:p w14:paraId="206A401E" w14:textId="77777777" w:rsidR="000F6182" w:rsidRPr="00625DF1" w:rsidRDefault="000F6182"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Contribuyentes que contraten a personas de 60 años o mayores.</w:t>
      </w:r>
    </w:p>
    <w:p w14:paraId="58149C0B" w14:textId="538E8580" w:rsidR="000F6182" w:rsidRPr="00625DF1" w:rsidRDefault="000F6182"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 xml:space="preserve">Contribuyentes que contraten y generen empleos nuevos para egresados de los niveles educativos técnico, tecnológico o profesional en los años </w:t>
      </w:r>
      <w:r w:rsidR="008660AB" w:rsidRPr="00625DF1">
        <w:rPr>
          <w:sz w:val="22"/>
          <w:szCs w:val="22"/>
          <w:shd w:val="clear" w:color="auto" w:fill="FFFFFF"/>
        </w:rPr>
        <w:t>2021</w:t>
      </w:r>
      <w:r w:rsidRPr="00625DF1">
        <w:rPr>
          <w:sz w:val="22"/>
          <w:szCs w:val="22"/>
          <w:shd w:val="clear" w:color="auto" w:fill="FFFFFF"/>
        </w:rPr>
        <w:t xml:space="preserve">, </w:t>
      </w:r>
      <w:r w:rsidR="009F1F35" w:rsidRPr="00625DF1">
        <w:rPr>
          <w:sz w:val="22"/>
          <w:szCs w:val="22"/>
          <w:shd w:val="clear" w:color="auto" w:fill="FFFFFF"/>
        </w:rPr>
        <w:t>202</w:t>
      </w:r>
      <w:r w:rsidR="008660AB" w:rsidRPr="00625DF1">
        <w:rPr>
          <w:sz w:val="22"/>
          <w:szCs w:val="22"/>
          <w:shd w:val="clear" w:color="auto" w:fill="FFFFFF"/>
        </w:rPr>
        <w:t>2</w:t>
      </w:r>
      <w:r w:rsidRPr="00625DF1">
        <w:rPr>
          <w:sz w:val="22"/>
          <w:szCs w:val="22"/>
          <w:shd w:val="clear" w:color="auto" w:fill="FFFFFF"/>
        </w:rPr>
        <w:t xml:space="preserve"> o </w:t>
      </w:r>
      <w:r w:rsidR="009F1F35" w:rsidRPr="00625DF1">
        <w:rPr>
          <w:sz w:val="22"/>
          <w:szCs w:val="22"/>
          <w:shd w:val="clear" w:color="auto" w:fill="FFFFFF"/>
        </w:rPr>
        <w:t>202</w:t>
      </w:r>
      <w:r w:rsidR="008660AB" w:rsidRPr="00625DF1">
        <w:rPr>
          <w:sz w:val="22"/>
          <w:szCs w:val="22"/>
          <w:shd w:val="clear" w:color="auto" w:fill="FFFFFF"/>
        </w:rPr>
        <w:t>3</w:t>
      </w:r>
      <w:r w:rsidR="009F1F35" w:rsidRPr="00625DF1">
        <w:rPr>
          <w:sz w:val="22"/>
          <w:szCs w:val="22"/>
          <w:shd w:val="clear" w:color="auto" w:fill="FFFFFF"/>
        </w:rPr>
        <w:t>.</w:t>
      </w:r>
    </w:p>
    <w:p w14:paraId="26B0F8C1" w14:textId="59BF496D" w:rsidR="00A018C1" w:rsidRPr="00625DF1" w:rsidRDefault="00A018C1"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 xml:space="preserve">Empresas que muden sus fuentes de empleo a la </w:t>
      </w:r>
      <w:r w:rsidR="00DB37B0" w:rsidRPr="00625DF1">
        <w:rPr>
          <w:sz w:val="22"/>
          <w:szCs w:val="22"/>
          <w:shd w:val="clear" w:color="auto" w:fill="FFFFFF"/>
        </w:rPr>
        <w:t>E</w:t>
      </w:r>
      <w:r w:rsidRPr="00625DF1">
        <w:rPr>
          <w:sz w:val="22"/>
          <w:szCs w:val="22"/>
          <w:shd w:val="clear" w:color="auto" w:fill="FFFFFF"/>
        </w:rPr>
        <w:t>ntidad.</w:t>
      </w:r>
    </w:p>
    <w:p w14:paraId="18B30238" w14:textId="1C59BF8F" w:rsidR="00380BC1" w:rsidRPr="00625DF1" w:rsidRDefault="000359B3"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E</w:t>
      </w:r>
      <w:r w:rsidR="00380BC1" w:rsidRPr="00625DF1">
        <w:rPr>
          <w:sz w:val="22"/>
          <w:szCs w:val="22"/>
          <w:shd w:val="clear" w:color="auto" w:fill="FFFFFF"/>
        </w:rPr>
        <w:t>mpresas que inicien operaciones en el Estado de México</w:t>
      </w:r>
      <w:r w:rsidR="009F1F35" w:rsidRPr="00625DF1">
        <w:rPr>
          <w:sz w:val="22"/>
          <w:szCs w:val="22"/>
          <w:shd w:val="clear" w:color="auto" w:fill="FFFFFF"/>
        </w:rPr>
        <w:t>.</w:t>
      </w:r>
    </w:p>
    <w:p w14:paraId="4D32675E" w14:textId="67BFFAC8" w:rsidR="000F6182" w:rsidRPr="00625DF1" w:rsidRDefault="000F6182"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Empresas que contraten personal que acceda por primera vez al mercado laboral</w:t>
      </w:r>
      <w:r w:rsidR="003D1BB5" w:rsidRPr="00625DF1">
        <w:rPr>
          <w:sz w:val="22"/>
          <w:szCs w:val="22"/>
          <w:shd w:val="clear" w:color="auto" w:fill="FFFFFF"/>
        </w:rPr>
        <w:t>.</w:t>
      </w:r>
    </w:p>
    <w:p w14:paraId="25549B00" w14:textId="4A671474" w:rsidR="00FB1968" w:rsidRPr="00625DF1" w:rsidRDefault="000359B3"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Quienes</w:t>
      </w:r>
      <w:r w:rsidR="00FB1968" w:rsidRPr="00625DF1">
        <w:rPr>
          <w:sz w:val="22"/>
          <w:szCs w:val="22"/>
          <w:shd w:val="clear" w:color="auto" w:fill="FFFFFF"/>
        </w:rPr>
        <w:t xml:space="preserve"> contraten personas pertenecientes a alguna comunidad de origen indígena.</w:t>
      </w:r>
    </w:p>
    <w:p w14:paraId="2F2DF125" w14:textId="77777777" w:rsidR="00FB1968" w:rsidRPr="00625DF1" w:rsidRDefault="00FB1968"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Contribuyentes que contraten a personas liberadas con motivo de la Ley de Amnistía del Estado de México.</w:t>
      </w:r>
    </w:p>
    <w:p w14:paraId="02A4BBFE" w14:textId="1088D2F7" w:rsidR="00380BC1" w:rsidRPr="00625DF1" w:rsidRDefault="000F6182"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Empresas que incrementen su plantilla laboral</w:t>
      </w:r>
      <w:r w:rsidR="00380BC1" w:rsidRPr="00625DF1">
        <w:rPr>
          <w:sz w:val="22"/>
          <w:szCs w:val="22"/>
          <w:shd w:val="clear" w:color="auto" w:fill="FFFFFF"/>
        </w:rPr>
        <w:t>.</w:t>
      </w:r>
    </w:p>
    <w:p w14:paraId="3A420E64" w14:textId="7CAF0DFB" w:rsidR="0073683B" w:rsidRPr="00625DF1" w:rsidRDefault="001A02C6" w:rsidP="00ED0A66">
      <w:pPr>
        <w:pStyle w:val="Prrafodelista"/>
        <w:numPr>
          <w:ilvl w:val="0"/>
          <w:numId w:val="16"/>
        </w:numPr>
        <w:autoSpaceDE w:val="0"/>
        <w:autoSpaceDN w:val="0"/>
        <w:adjustRightInd w:val="0"/>
        <w:spacing w:after="60"/>
        <w:ind w:left="714" w:hanging="357"/>
        <w:contextualSpacing w:val="0"/>
        <w:rPr>
          <w:sz w:val="22"/>
          <w:szCs w:val="22"/>
          <w:shd w:val="clear" w:color="auto" w:fill="FFFFFF"/>
        </w:rPr>
      </w:pPr>
      <w:r w:rsidRPr="00625DF1">
        <w:rPr>
          <w:sz w:val="22"/>
          <w:szCs w:val="22"/>
          <w:shd w:val="clear" w:color="auto" w:fill="FFFFFF"/>
        </w:rPr>
        <w:t xml:space="preserve">Quienes durante el </w:t>
      </w:r>
      <w:r w:rsidR="009B5CE3" w:rsidRPr="00625DF1">
        <w:rPr>
          <w:sz w:val="22"/>
          <w:szCs w:val="22"/>
          <w:shd w:val="clear" w:color="auto" w:fill="FFFFFF"/>
        </w:rPr>
        <w:t>E</w:t>
      </w:r>
      <w:r w:rsidRPr="00625DF1">
        <w:rPr>
          <w:sz w:val="22"/>
          <w:szCs w:val="22"/>
          <w:shd w:val="clear" w:color="auto" w:fill="FFFFFF"/>
        </w:rPr>
        <w:t xml:space="preserve">jercicio </w:t>
      </w:r>
      <w:r w:rsidR="009B5CE3" w:rsidRPr="00625DF1">
        <w:rPr>
          <w:sz w:val="22"/>
          <w:szCs w:val="22"/>
          <w:shd w:val="clear" w:color="auto" w:fill="FFFFFF"/>
        </w:rPr>
        <w:t>F</w:t>
      </w:r>
      <w:r w:rsidRPr="00625DF1">
        <w:rPr>
          <w:sz w:val="22"/>
          <w:szCs w:val="22"/>
          <w:shd w:val="clear" w:color="auto" w:fill="FFFFFF"/>
        </w:rPr>
        <w:t>iscal 2023</w:t>
      </w:r>
      <w:r w:rsidR="0073683B" w:rsidRPr="00625DF1">
        <w:rPr>
          <w:sz w:val="22"/>
          <w:szCs w:val="22"/>
          <w:shd w:val="clear" w:color="auto" w:fill="FFFFFF"/>
        </w:rPr>
        <w:t xml:space="preserve"> </w:t>
      </w:r>
      <w:r w:rsidR="0073683B" w:rsidRPr="00625DF1">
        <w:rPr>
          <w:sz w:val="22"/>
          <w:szCs w:val="22"/>
        </w:rPr>
        <w:t>contraten y ubiquen en plazas de nueva generación a personas que hayan perdido su fuente de empleo formal durante los meses de marzo a diciembre de 2020 y de enero a diciembre de 2021.</w:t>
      </w:r>
    </w:p>
    <w:p w14:paraId="163CC32C" w14:textId="104742FD" w:rsidR="00413295" w:rsidRPr="00EC62CE" w:rsidRDefault="007276D1" w:rsidP="00CE14E8">
      <w:pPr>
        <w:autoSpaceDE w:val="0"/>
        <w:autoSpaceDN w:val="0"/>
        <w:adjustRightInd w:val="0"/>
        <w:rPr>
          <w:sz w:val="22"/>
          <w:szCs w:val="22"/>
          <w:shd w:val="clear" w:color="auto" w:fill="FFFFFF"/>
        </w:rPr>
      </w:pPr>
      <w:r w:rsidRPr="00EC62CE">
        <w:rPr>
          <w:sz w:val="22"/>
          <w:szCs w:val="22"/>
          <w:shd w:val="clear" w:color="auto" w:fill="FFFFFF"/>
        </w:rPr>
        <w:lastRenderedPageBreak/>
        <w:t>En adición</w:t>
      </w:r>
      <w:r w:rsidR="00CE14E8" w:rsidRPr="00EC62CE">
        <w:rPr>
          <w:sz w:val="22"/>
          <w:szCs w:val="22"/>
          <w:shd w:val="clear" w:color="auto" w:fill="FFFFFF"/>
        </w:rPr>
        <w:t xml:space="preserve">, la presente Iniciativa contempla incorporar al esquema de subsidio </w:t>
      </w:r>
      <w:r w:rsidRPr="00EC62CE">
        <w:rPr>
          <w:sz w:val="22"/>
          <w:szCs w:val="22"/>
          <w:shd w:val="clear" w:color="auto" w:fill="FFFFFF"/>
        </w:rPr>
        <w:t xml:space="preserve">del 100 por ciento en el pago del Impuesto sobre Erogaciones por Remuneraciones al Trabajo Personal </w:t>
      </w:r>
      <w:r w:rsidR="00531FFF" w:rsidRPr="00EC62CE">
        <w:rPr>
          <w:sz w:val="22"/>
          <w:szCs w:val="22"/>
          <w:shd w:val="clear" w:color="auto" w:fill="FFFFFF"/>
        </w:rPr>
        <w:t>por los 12 meses posteriores a la manifestación del subsidio en la declaración correspondiente, a las mujeres jefas de familia con hasta 3 empleados.</w:t>
      </w:r>
    </w:p>
    <w:p w14:paraId="0ECD912D" w14:textId="7F4716CD" w:rsidR="00CE14E8" w:rsidRPr="0052008D" w:rsidRDefault="00CE14E8" w:rsidP="00CE14E8">
      <w:pPr>
        <w:autoSpaceDE w:val="0"/>
        <w:autoSpaceDN w:val="0"/>
        <w:adjustRightInd w:val="0"/>
        <w:rPr>
          <w:sz w:val="28"/>
          <w:szCs w:val="28"/>
          <w:shd w:val="clear" w:color="auto" w:fill="FFFFFF"/>
        </w:rPr>
      </w:pPr>
    </w:p>
    <w:p w14:paraId="59FC8009" w14:textId="565E4676" w:rsidR="0015253F" w:rsidRPr="00EC62CE" w:rsidRDefault="007276D1" w:rsidP="00696E0D">
      <w:pPr>
        <w:autoSpaceDE w:val="0"/>
        <w:autoSpaceDN w:val="0"/>
        <w:adjustRightInd w:val="0"/>
        <w:rPr>
          <w:sz w:val="22"/>
          <w:szCs w:val="22"/>
          <w:shd w:val="clear" w:color="auto" w:fill="FFFFFF"/>
        </w:rPr>
      </w:pPr>
      <w:r w:rsidRPr="00EC62CE">
        <w:rPr>
          <w:sz w:val="22"/>
          <w:szCs w:val="22"/>
          <w:shd w:val="clear" w:color="auto" w:fill="FFFFFF"/>
        </w:rPr>
        <w:t xml:space="preserve">De manera particular, </w:t>
      </w:r>
      <w:r w:rsidR="007B5996" w:rsidRPr="00EC62CE">
        <w:rPr>
          <w:sz w:val="22"/>
          <w:szCs w:val="22"/>
          <w:shd w:val="clear" w:color="auto" w:fill="FFFFFF"/>
        </w:rPr>
        <w:t>tanto a nivel nacional como estatal, en</w:t>
      </w:r>
      <w:r w:rsidR="00CB1290" w:rsidRPr="00EC62CE">
        <w:rPr>
          <w:sz w:val="22"/>
          <w:szCs w:val="22"/>
          <w:shd w:val="clear" w:color="auto" w:fill="FFFFFF"/>
        </w:rPr>
        <w:t xml:space="preserve"> l</w:t>
      </w:r>
      <w:r w:rsidR="00CE14E8" w:rsidRPr="00EC62CE">
        <w:rPr>
          <w:sz w:val="22"/>
          <w:szCs w:val="22"/>
          <w:shd w:val="clear" w:color="auto" w:fill="FFFFFF"/>
        </w:rPr>
        <w:t xml:space="preserve">os hogares </w:t>
      </w:r>
      <w:r w:rsidR="00CB1290" w:rsidRPr="00EC62CE">
        <w:rPr>
          <w:sz w:val="22"/>
          <w:szCs w:val="22"/>
          <w:shd w:val="clear" w:color="auto" w:fill="FFFFFF"/>
        </w:rPr>
        <w:t xml:space="preserve">han </w:t>
      </w:r>
      <w:r w:rsidR="007B5996" w:rsidRPr="00EC62CE">
        <w:rPr>
          <w:sz w:val="22"/>
          <w:szCs w:val="22"/>
          <w:shd w:val="clear" w:color="auto" w:fill="FFFFFF"/>
        </w:rPr>
        <w:t>prevalecido</w:t>
      </w:r>
      <w:r w:rsidR="00CB1290" w:rsidRPr="00EC62CE">
        <w:rPr>
          <w:sz w:val="22"/>
          <w:szCs w:val="22"/>
          <w:shd w:val="clear" w:color="auto" w:fill="FFFFFF"/>
        </w:rPr>
        <w:t xml:space="preserve"> diversos patrones de organización familiar </w:t>
      </w:r>
      <w:r w:rsidR="0064757E" w:rsidRPr="00EC62CE">
        <w:rPr>
          <w:sz w:val="22"/>
          <w:szCs w:val="22"/>
          <w:shd w:val="clear" w:color="auto" w:fill="FFFFFF"/>
        </w:rPr>
        <w:t>atendiendo a</w:t>
      </w:r>
      <w:r w:rsidR="00CB1290" w:rsidRPr="00EC62CE">
        <w:rPr>
          <w:sz w:val="22"/>
          <w:szCs w:val="22"/>
          <w:shd w:val="clear" w:color="auto" w:fill="FFFFFF"/>
        </w:rPr>
        <w:t xml:space="preserve"> factores demográficos, sociales, económicos y culturales</w:t>
      </w:r>
      <w:r w:rsidRPr="00EC62CE">
        <w:rPr>
          <w:sz w:val="22"/>
          <w:szCs w:val="22"/>
          <w:shd w:val="clear" w:color="auto" w:fill="FFFFFF"/>
        </w:rPr>
        <w:t xml:space="preserve">, </w:t>
      </w:r>
      <w:r w:rsidR="007B5996" w:rsidRPr="00EC62CE">
        <w:rPr>
          <w:sz w:val="22"/>
          <w:szCs w:val="22"/>
          <w:shd w:val="clear" w:color="auto" w:fill="FFFFFF"/>
        </w:rPr>
        <w:t>dando lugar a</w:t>
      </w:r>
      <w:r w:rsidRPr="00EC62CE">
        <w:rPr>
          <w:sz w:val="22"/>
          <w:szCs w:val="22"/>
          <w:shd w:val="clear" w:color="auto" w:fill="FFFFFF"/>
        </w:rPr>
        <w:t xml:space="preserve"> </w:t>
      </w:r>
      <w:r w:rsidR="00CB1290" w:rsidRPr="00EC62CE">
        <w:rPr>
          <w:sz w:val="22"/>
          <w:szCs w:val="22"/>
          <w:shd w:val="clear" w:color="auto" w:fill="FFFFFF"/>
        </w:rPr>
        <w:t>roles</w:t>
      </w:r>
      <w:r w:rsidRPr="00EC62CE">
        <w:rPr>
          <w:sz w:val="22"/>
          <w:szCs w:val="22"/>
          <w:shd w:val="clear" w:color="auto" w:fill="FFFFFF"/>
        </w:rPr>
        <w:t xml:space="preserve"> diferenciados</w:t>
      </w:r>
      <w:r w:rsidR="00CB1290" w:rsidRPr="00EC62CE">
        <w:rPr>
          <w:sz w:val="22"/>
          <w:szCs w:val="22"/>
          <w:shd w:val="clear" w:color="auto" w:fill="FFFFFF"/>
        </w:rPr>
        <w:t xml:space="preserve"> en las actividades que </w:t>
      </w:r>
      <w:r w:rsidR="007B5996" w:rsidRPr="00EC62CE">
        <w:rPr>
          <w:sz w:val="22"/>
          <w:szCs w:val="22"/>
          <w:shd w:val="clear" w:color="auto" w:fill="FFFFFF"/>
        </w:rPr>
        <w:t>desempeña</w:t>
      </w:r>
      <w:r w:rsidR="00CB1290" w:rsidRPr="00EC62CE">
        <w:rPr>
          <w:sz w:val="22"/>
          <w:szCs w:val="22"/>
          <w:shd w:val="clear" w:color="auto" w:fill="FFFFFF"/>
        </w:rPr>
        <w:t xml:space="preserve"> </w:t>
      </w:r>
      <w:r w:rsidR="0064757E" w:rsidRPr="00EC62CE">
        <w:rPr>
          <w:sz w:val="22"/>
          <w:szCs w:val="22"/>
          <w:shd w:val="clear" w:color="auto" w:fill="FFFFFF"/>
        </w:rPr>
        <w:t>cada integrante</w:t>
      </w:r>
      <w:r w:rsidR="007B5996" w:rsidRPr="00EC62CE">
        <w:rPr>
          <w:sz w:val="22"/>
          <w:szCs w:val="22"/>
          <w:shd w:val="clear" w:color="auto" w:fill="FFFFFF"/>
        </w:rPr>
        <w:t xml:space="preserve"> dentro y fuera del hogar</w:t>
      </w:r>
      <w:r w:rsidRPr="00EC62CE">
        <w:rPr>
          <w:sz w:val="22"/>
          <w:szCs w:val="22"/>
          <w:shd w:val="clear" w:color="auto" w:fill="FFFFFF"/>
        </w:rPr>
        <w:t xml:space="preserve">. </w:t>
      </w:r>
      <w:r w:rsidR="007B5996" w:rsidRPr="00EC62CE">
        <w:rPr>
          <w:sz w:val="22"/>
          <w:szCs w:val="22"/>
          <w:shd w:val="clear" w:color="auto" w:fill="FFFFFF"/>
        </w:rPr>
        <w:t xml:space="preserve">De manera particular en el ámbito laboral, </w:t>
      </w:r>
      <w:r w:rsidR="0064757E" w:rsidRPr="00EC62CE">
        <w:rPr>
          <w:sz w:val="22"/>
          <w:szCs w:val="22"/>
          <w:shd w:val="clear" w:color="auto" w:fill="FFFFFF"/>
        </w:rPr>
        <w:t xml:space="preserve">en el Estado de México se cuenta con </w:t>
      </w:r>
      <w:r w:rsidR="0015253F" w:rsidRPr="00EC62CE">
        <w:rPr>
          <w:sz w:val="22"/>
          <w:szCs w:val="22"/>
          <w:shd w:val="clear" w:color="auto" w:fill="FFFFFF"/>
        </w:rPr>
        <w:t>cuatro</w:t>
      </w:r>
      <w:r w:rsidR="0064757E" w:rsidRPr="00EC62CE">
        <w:rPr>
          <w:sz w:val="22"/>
          <w:szCs w:val="22"/>
          <w:shd w:val="clear" w:color="auto" w:fill="FFFFFF"/>
        </w:rPr>
        <w:t xml:space="preserve"> trabajadoras</w:t>
      </w:r>
      <w:r w:rsidR="007B5996" w:rsidRPr="00EC62CE">
        <w:rPr>
          <w:sz w:val="22"/>
          <w:szCs w:val="22"/>
          <w:shd w:val="clear" w:color="auto" w:fill="FFFFFF"/>
        </w:rPr>
        <w:t xml:space="preserve"> ocupadas</w:t>
      </w:r>
      <w:r w:rsidR="0064757E" w:rsidRPr="00EC62CE">
        <w:rPr>
          <w:sz w:val="22"/>
          <w:szCs w:val="22"/>
          <w:shd w:val="clear" w:color="auto" w:fill="FFFFFF"/>
        </w:rPr>
        <w:t xml:space="preserve"> por cada seis trabajadores</w:t>
      </w:r>
      <w:r w:rsidR="007B5996" w:rsidRPr="00EC62CE">
        <w:rPr>
          <w:rStyle w:val="Refdenotaalpie"/>
          <w:sz w:val="22"/>
          <w:szCs w:val="22"/>
          <w:shd w:val="clear" w:color="auto" w:fill="FFFFFF"/>
        </w:rPr>
        <w:footnoteReference w:id="8"/>
      </w:r>
      <w:r w:rsidR="0064757E" w:rsidRPr="00EC62CE">
        <w:rPr>
          <w:sz w:val="22"/>
          <w:szCs w:val="22"/>
          <w:shd w:val="clear" w:color="auto" w:fill="FFFFFF"/>
        </w:rPr>
        <w:t xml:space="preserve">, y la brecha resulta mayor al considerar actividades relacionadas con la industria, la manufactura y la construcción en donde </w:t>
      </w:r>
      <w:r w:rsidR="0015253F" w:rsidRPr="00EC62CE">
        <w:rPr>
          <w:sz w:val="22"/>
          <w:szCs w:val="22"/>
          <w:shd w:val="clear" w:color="auto" w:fill="FFFFFF"/>
        </w:rPr>
        <w:t>se tiene a dos trabajadoras por cada ocho trabajadores.</w:t>
      </w:r>
      <w:r w:rsidR="0064757E" w:rsidRPr="00EC62CE">
        <w:rPr>
          <w:sz w:val="22"/>
          <w:szCs w:val="22"/>
          <w:shd w:val="clear" w:color="auto" w:fill="FFFFFF"/>
        </w:rPr>
        <w:t xml:space="preserve"> </w:t>
      </w:r>
      <w:r w:rsidR="00696E0D" w:rsidRPr="00EC62CE">
        <w:rPr>
          <w:sz w:val="22"/>
          <w:szCs w:val="22"/>
          <w:shd w:val="clear" w:color="auto" w:fill="FFFFFF"/>
        </w:rPr>
        <w:t xml:space="preserve">Del mismo modo, </w:t>
      </w:r>
      <w:r w:rsidR="007D5D32" w:rsidRPr="00EC62CE">
        <w:rPr>
          <w:sz w:val="22"/>
          <w:szCs w:val="22"/>
          <w:shd w:val="clear" w:color="auto" w:fill="FFFFFF"/>
        </w:rPr>
        <w:t xml:space="preserve">la composición conyugal reconocida sobre la jefatura </w:t>
      </w:r>
      <w:r w:rsidR="00696E0D" w:rsidRPr="00EC62CE">
        <w:rPr>
          <w:sz w:val="22"/>
          <w:szCs w:val="22"/>
          <w:shd w:val="clear" w:color="auto" w:fill="FFFFFF"/>
        </w:rPr>
        <w:t xml:space="preserve">de </w:t>
      </w:r>
      <w:r w:rsidR="0027737E" w:rsidRPr="00EC62CE">
        <w:rPr>
          <w:sz w:val="22"/>
          <w:szCs w:val="22"/>
          <w:shd w:val="clear" w:color="auto" w:fill="FFFFFF"/>
        </w:rPr>
        <w:t>familia</w:t>
      </w:r>
      <w:r w:rsidR="00696E0D" w:rsidRPr="00EC62CE">
        <w:rPr>
          <w:sz w:val="22"/>
          <w:szCs w:val="22"/>
          <w:shd w:val="clear" w:color="auto" w:fill="FFFFFF"/>
        </w:rPr>
        <w:t xml:space="preserve"> </w:t>
      </w:r>
      <w:r w:rsidR="007D5D32" w:rsidRPr="00EC62CE">
        <w:rPr>
          <w:sz w:val="22"/>
          <w:szCs w:val="22"/>
          <w:shd w:val="clear" w:color="auto" w:fill="FFFFFF"/>
        </w:rPr>
        <w:t xml:space="preserve">añade un elemento determinante que amplía </w:t>
      </w:r>
      <w:r w:rsidR="00F43B3E" w:rsidRPr="00EC62CE">
        <w:rPr>
          <w:sz w:val="22"/>
          <w:szCs w:val="22"/>
          <w:shd w:val="clear" w:color="auto" w:fill="FFFFFF"/>
        </w:rPr>
        <w:t>dicha</w:t>
      </w:r>
      <w:r w:rsidR="007D5D32" w:rsidRPr="00EC62CE">
        <w:rPr>
          <w:sz w:val="22"/>
          <w:szCs w:val="22"/>
          <w:shd w:val="clear" w:color="auto" w:fill="FFFFFF"/>
        </w:rPr>
        <w:t xml:space="preserve"> brecha. Gran parte de la fuerza de trabajo mexiquense se encuentra organizada al interior de sus hogares bajo una estructura liderada por una pareja conyugal, en donde el 93</w:t>
      </w:r>
      <w:r w:rsidR="00567565" w:rsidRPr="00EC62CE">
        <w:rPr>
          <w:sz w:val="22"/>
          <w:szCs w:val="22"/>
          <w:shd w:val="clear" w:color="auto" w:fill="FFFFFF"/>
        </w:rPr>
        <w:t xml:space="preserve"> por ciento</w:t>
      </w:r>
      <w:r w:rsidR="007D5D32" w:rsidRPr="00EC62CE">
        <w:rPr>
          <w:sz w:val="22"/>
          <w:szCs w:val="22"/>
          <w:shd w:val="clear" w:color="auto" w:fill="FFFFFF"/>
        </w:rPr>
        <w:t xml:space="preserve"> </w:t>
      </w:r>
      <w:r w:rsidR="00F43B3E" w:rsidRPr="00EC62CE">
        <w:rPr>
          <w:sz w:val="22"/>
          <w:szCs w:val="22"/>
          <w:shd w:val="clear" w:color="auto" w:fill="FFFFFF"/>
        </w:rPr>
        <w:t>reconoce al varón</w:t>
      </w:r>
      <w:r w:rsidR="007D5D32" w:rsidRPr="00EC62CE">
        <w:rPr>
          <w:sz w:val="22"/>
          <w:szCs w:val="22"/>
          <w:shd w:val="clear" w:color="auto" w:fill="FFFFFF"/>
        </w:rPr>
        <w:t xml:space="preserve"> como </w:t>
      </w:r>
      <w:r w:rsidR="00567565" w:rsidRPr="00EC62CE">
        <w:rPr>
          <w:sz w:val="22"/>
          <w:szCs w:val="22"/>
          <w:shd w:val="clear" w:color="auto" w:fill="FFFFFF"/>
        </w:rPr>
        <w:t xml:space="preserve">jefe </w:t>
      </w:r>
      <w:r w:rsidR="0027737E" w:rsidRPr="00EC62CE">
        <w:rPr>
          <w:sz w:val="22"/>
          <w:szCs w:val="22"/>
          <w:shd w:val="clear" w:color="auto" w:fill="FFFFFF"/>
        </w:rPr>
        <w:t>de familia</w:t>
      </w:r>
      <w:r w:rsidR="00567565" w:rsidRPr="00EC62CE">
        <w:rPr>
          <w:sz w:val="22"/>
          <w:szCs w:val="22"/>
          <w:shd w:val="clear" w:color="auto" w:fill="FFFFFF"/>
        </w:rPr>
        <w:t xml:space="preserve">, dejando solamente a 7 por ciento </w:t>
      </w:r>
      <w:r w:rsidR="00F43B3E" w:rsidRPr="00EC62CE">
        <w:rPr>
          <w:sz w:val="22"/>
          <w:szCs w:val="22"/>
          <w:shd w:val="clear" w:color="auto" w:fill="FFFFFF"/>
        </w:rPr>
        <w:t>para las mujeres</w:t>
      </w:r>
      <w:r w:rsidR="00567565" w:rsidRPr="00EC62CE">
        <w:rPr>
          <w:sz w:val="22"/>
          <w:szCs w:val="22"/>
          <w:shd w:val="clear" w:color="auto" w:fill="FFFFFF"/>
        </w:rPr>
        <w:t xml:space="preserve">. Sin embargo, esta situación se revierte de manera importante considerando a </w:t>
      </w:r>
      <w:r w:rsidR="00696E0D" w:rsidRPr="00EC62CE">
        <w:rPr>
          <w:sz w:val="22"/>
          <w:szCs w:val="22"/>
          <w:shd w:val="clear" w:color="auto" w:fill="FFFFFF"/>
        </w:rPr>
        <w:t>aquellos</w:t>
      </w:r>
      <w:r w:rsidR="00567565" w:rsidRPr="00EC62CE">
        <w:rPr>
          <w:sz w:val="22"/>
          <w:szCs w:val="22"/>
          <w:shd w:val="clear" w:color="auto" w:fill="FFFFFF"/>
        </w:rPr>
        <w:t xml:space="preserve"> hogar</w:t>
      </w:r>
      <w:r w:rsidR="00696E0D" w:rsidRPr="00EC62CE">
        <w:rPr>
          <w:sz w:val="22"/>
          <w:szCs w:val="22"/>
          <w:shd w:val="clear" w:color="auto" w:fill="FFFFFF"/>
        </w:rPr>
        <w:t>es</w:t>
      </w:r>
      <w:r w:rsidR="00567565" w:rsidRPr="00EC62CE">
        <w:rPr>
          <w:sz w:val="22"/>
          <w:szCs w:val="22"/>
          <w:shd w:val="clear" w:color="auto" w:fill="FFFFFF"/>
        </w:rPr>
        <w:t xml:space="preserve"> organizado</w:t>
      </w:r>
      <w:r w:rsidR="00696E0D" w:rsidRPr="00EC62CE">
        <w:rPr>
          <w:sz w:val="22"/>
          <w:szCs w:val="22"/>
          <w:shd w:val="clear" w:color="auto" w:fill="FFFFFF"/>
        </w:rPr>
        <w:t>s</w:t>
      </w:r>
      <w:r w:rsidR="00567565" w:rsidRPr="00EC62CE">
        <w:rPr>
          <w:sz w:val="22"/>
          <w:szCs w:val="22"/>
          <w:shd w:val="clear" w:color="auto" w:fill="FFFFFF"/>
        </w:rPr>
        <w:t xml:space="preserve"> de manera unipersonal sin la presencia de un c</w:t>
      </w:r>
      <w:r w:rsidR="000960B3" w:rsidRPr="00EC62CE">
        <w:rPr>
          <w:sz w:val="22"/>
          <w:szCs w:val="22"/>
          <w:shd w:val="clear" w:color="auto" w:fill="FFFFFF"/>
        </w:rPr>
        <w:t>ó</w:t>
      </w:r>
      <w:r w:rsidR="00567565" w:rsidRPr="00EC62CE">
        <w:rPr>
          <w:sz w:val="22"/>
          <w:szCs w:val="22"/>
          <w:shd w:val="clear" w:color="auto" w:fill="FFFFFF"/>
        </w:rPr>
        <w:t>nyuge</w:t>
      </w:r>
      <w:r w:rsidRPr="00EC62CE">
        <w:rPr>
          <w:rStyle w:val="Refdenotaalpie"/>
          <w:sz w:val="22"/>
          <w:szCs w:val="22"/>
          <w:shd w:val="clear" w:color="auto" w:fill="FFFFFF"/>
        </w:rPr>
        <w:footnoteReference w:id="9"/>
      </w:r>
      <w:r w:rsidR="00567565" w:rsidRPr="00EC62CE">
        <w:rPr>
          <w:sz w:val="22"/>
          <w:szCs w:val="22"/>
          <w:shd w:val="clear" w:color="auto" w:fill="FFFFFF"/>
        </w:rPr>
        <w:t xml:space="preserve">, ya que la </w:t>
      </w:r>
      <w:r w:rsidR="00696E0D" w:rsidRPr="00EC62CE">
        <w:rPr>
          <w:sz w:val="22"/>
          <w:szCs w:val="22"/>
          <w:shd w:val="clear" w:color="auto" w:fill="FFFFFF"/>
        </w:rPr>
        <w:t xml:space="preserve">mujer es la mayormente reconocida en la jefatura </w:t>
      </w:r>
      <w:r w:rsidR="0027737E" w:rsidRPr="00EC62CE">
        <w:rPr>
          <w:sz w:val="22"/>
          <w:szCs w:val="22"/>
          <w:shd w:val="clear" w:color="auto" w:fill="FFFFFF"/>
        </w:rPr>
        <w:t>de familia</w:t>
      </w:r>
      <w:r w:rsidR="00696E0D" w:rsidRPr="00EC62CE">
        <w:rPr>
          <w:sz w:val="22"/>
          <w:szCs w:val="22"/>
          <w:shd w:val="clear" w:color="auto" w:fill="FFFFFF"/>
        </w:rPr>
        <w:t xml:space="preserve"> </w:t>
      </w:r>
      <w:r w:rsidR="00567565" w:rsidRPr="00EC62CE">
        <w:rPr>
          <w:sz w:val="22"/>
          <w:szCs w:val="22"/>
          <w:shd w:val="clear" w:color="auto" w:fill="FFFFFF"/>
        </w:rPr>
        <w:t>(68 por ciento)</w:t>
      </w:r>
      <w:r w:rsidR="007B5996" w:rsidRPr="00EC62CE">
        <w:rPr>
          <w:sz w:val="22"/>
          <w:szCs w:val="22"/>
          <w:shd w:val="clear" w:color="auto" w:fill="FFFFFF"/>
        </w:rPr>
        <w:t xml:space="preserve"> con</w:t>
      </w:r>
      <w:r w:rsidRPr="00EC62CE">
        <w:rPr>
          <w:sz w:val="22"/>
          <w:szCs w:val="22"/>
          <w:shd w:val="clear" w:color="auto" w:fill="FFFFFF"/>
        </w:rPr>
        <w:t xml:space="preserve"> un total de 264 mil trabajadoras mexiquenses </w:t>
      </w:r>
      <w:r w:rsidR="00696E0D" w:rsidRPr="00EC62CE">
        <w:rPr>
          <w:sz w:val="22"/>
          <w:szCs w:val="22"/>
          <w:shd w:val="clear" w:color="auto" w:fill="FFFFFF"/>
        </w:rPr>
        <w:t>como único soporte</w:t>
      </w:r>
      <w:r w:rsidRPr="00EC62CE">
        <w:rPr>
          <w:sz w:val="22"/>
          <w:szCs w:val="22"/>
          <w:shd w:val="clear" w:color="auto" w:fill="FFFFFF"/>
        </w:rPr>
        <w:t xml:space="preserve"> del hogar</w:t>
      </w:r>
      <w:r w:rsidR="00696E0D" w:rsidRPr="00EC62CE">
        <w:rPr>
          <w:sz w:val="22"/>
          <w:szCs w:val="22"/>
          <w:shd w:val="clear" w:color="auto" w:fill="FFFFFF"/>
        </w:rPr>
        <w:t xml:space="preserve">, </w:t>
      </w:r>
      <w:r w:rsidR="007B5996" w:rsidRPr="00EC62CE">
        <w:rPr>
          <w:sz w:val="22"/>
          <w:szCs w:val="22"/>
          <w:shd w:val="clear" w:color="auto" w:fill="FFFFFF"/>
        </w:rPr>
        <w:t>con un mayor nivel de vulnerabilidad</w:t>
      </w:r>
      <w:r w:rsidR="00F43B3E" w:rsidRPr="00EC62CE">
        <w:rPr>
          <w:sz w:val="22"/>
          <w:szCs w:val="22"/>
          <w:shd w:val="clear" w:color="auto" w:fill="FFFFFF"/>
        </w:rPr>
        <w:t xml:space="preserve">. </w:t>
      </w:r>
    </w:p>
    <w:p w14:paraId="0593B3B1" w14:textId="0E6143DA" w:rsidR="00567565" w:rsidRPr="0052008D" w:rsidRDefault="00567565" w:rsidP="00CE14E8">
      <w:pPr>
        <w:autoSpaceDE w:val="0"/>
        <w:autoSpaceDN w:val="0"/>
        <w:adjustRightInd w:val="0"/>
        <w:rPr>
          <w:sz w:val="28"/>
          <w:szCs w:val="28"/>
          <w:shd w:val="clear" w:color="auto" w:fill="FFFFFF"/>
        </w:rPr>
      </w:pPr>
    </w:p>
    <w:p w14:paraId="228969A0" w14:textId="2F0D2B3C" w:rsidR="0015253F" w:rsidRPr="00EC62CE" w:rsidRDefault="007276D1" w:rsidP="00CE14E8">
      <w:pPr>
        <w:autoSpaceDE w:val="0"/>
        <w:autoSpaceDN w:val="0"/>
        <w:adjustRightInd w:val="0"/>
        <w:rPr>
          <w:sz w:val="22"/>
          <w:szCs w:val="22"/>
          <w:shd w:val="clear" w:color="auto" w:fill="FFFFFF"/>
        </w:rPr>
      </w:pPr>
      <w:r w:rsidRPr="00EC62CE">
        <w:rPr>
          <w:sz w:val="22"/>
          <w:szCs w:val="22"/>
          <w:shd w:val="clear" w:color="auto" w:fill="FFFFFF"/>
        </w:rPr>
        <w:t>En años recientes</w:t>
      </w:r>
      <w:r w:rsidR="00C75825" w:rsidRPr="00EC62CE">
        <w:rPr>
          <w:sz w:val="22"/>
          <w:szCs w:val="22"/>
          <w:shd w:val="clear" w:color="auto" w:fill="FFFFFF"/>
        </w:rPr>
        <w:t>, los nuevos esquemas de comercialización generados por la pandemia de COVID-19 ha</w:t>
      </w:r>
      <w:r w:rsidRPr="00EC62CE">
        <w:rPr>
          <w:sz w:val="22"/>
          <w:szCs w:val="22"/>
          <w:shd w:val="clear" w:color="auto" w:fill="FFFFFF"/>
        </w:rPr>
        <w:t>n</w:t>
      </w:r>
      <w:r w:rsidR="00C75825" w:rsidRPr="00EC62CE">
        <w:rPr>
          <w:sz w:val="22"/>
          <w:szCs w:val="22"/>
          <w:shd w:val="clear" w:color="auto" w:fill="FFFFFF"/>
        </w:rPr>
        <w:t xml:space="preserve"> potenciado a</w:t>
      </w:r>
      <w:r w:rsidR="00F43B3E" w:rsidRPr="00EC62CE">
        <w:rPr>
          <w:sz w:val="22"/>
          <w:szCs w:val="22"/>
          <w:shd w:val="clear" w:color="auto" w:fill="FFFFFF"/>
        </w:rPr>
        <w:t xml:space="preserve"> las </w:t>
      </w:r>
      <w:r w:rsidR="00C75825" w:rsidRPr="00EC62CE">
        <w:rPr>
          <w:sz w:val="22"/>
          <w:szCs w:val="22"/>
          <w:shd w:val="clear" w:color="auto" w:fill="FFFFFF"/>
        </w:rPr>
        <w:t xml:space="preserve">jefas </w:t>
      </w:r>
      <w:r w:rsidR="0027737E" w:rsidRPr="00EC62CE">
        <w:rPr>
          <w:sz w:val="22"/>
          <w:szCs w:val="22"/>
          <w:shd w:val="clear" w:color="auto" w:fill="FFFFFF"/>
        </w:rPr>
        <w:t>de familia</w:t>
      </w:r>
      <w:r w:rsidR="00F43B3E" w:rsidRPr="00EC62CE">
        <w:rPr>
          <w:sz w:val="22"/>
          <w:szCs w:val="22"/>
          <w:shd w:val="clear" w:color="auto" w:fill="FFFFFF"/>
        </w:rPr>
        <w:t xml:space="preserve"> </w:t>
      </w:r>
      <w:r w:rsidR="001B6A37" w:rsidRPr="00EC62CE">
        <w:rPr>
          <w:sz w:val="22"/>
          <w:szCs w:val="22"/>
          <w:shd w:val="clear" w:color="auto" w:fill="FFFFFF"/>
        </w:rPr>
        <w:t xml:space="preserve">para </w:t>
      </w:r>
      <w:r w:rsidR="00F43B3E" w:rsidRPr="00EC62CE">
        <w:rPr>
          <w:sz w:val="22"/>
          <w:szCs w:val="22"/>
          <w:shd w:val="clear" w:color="auto" w:fill="FFFFFF"/>
        </w:rPr>
        <w:t>que se desempeñ</w:t>
      </w:r>
      <w:r w:rsidR="001B6A37" w:rsidRPr="00EC62CE">
        <w:rPr>
          <w:sz w:val="22"/>
          <w:szCs w:val="22"/>
          <w:shd w:val="clear" w:color="auto" w:fill="FFFFFF"/>
        </w:rPr>
        <w:t>e</w:t>
      </w:r>
      <w:r w:rsidR="00F43B3E" w:rsidRPr="00EC62CE">
        <w:rPr>
          <w:sz w:val="22"/>
          <w:szCs w:val="22"/>
          <w:shd w:val="clear" w:color="auto" w:fill="FFFFFF"/>
        </w:rPr>
        <w:t>n de manera independiente</w:t>
      </w:r>
      <w:r w:rsidR="00C75825" w:rsidRPr="00EC62CE">
        <w:rPr>
          <w:sz w:val="22"/>
          <w:szCs w:val="22"/>
          <w:shd w:val="clear" w:color="auto" w:fill="FFFFFF"/>
        </w:rPr>
        <w:t xml:space="preserve">, </w:t>
      </w:r>
      <w:r w:rsidR="008660AB" w:rsidRPr="00EC62CE">
        <w:rPr>
          <w:sz w:val="22"/>
          <w:szCs w:val="22"/>
          <w:shd w:val="clear" w:color="auto" w:fill="FFFFFF"/>
        </w:rPr>
        <w:t>lo</w:t>
      </w:r>
      <w:r w:rsidR="001B6A37" w:rsidRPr="00EC62CE">
        <w:rPr>
          <w:sz w:val="22"/>
          <w:szCs w:val="22"/>
          <w:shd w:val="clear" w:color="auto" w:fill="FFFFFF"/>
        </w:rPr>
        <w:t xml:space="preserve"> cual, en la mayoría de los casos las desfavorece y vulnera</w:t>
      </w:r>
      <w:r w:rsidR="00C75825" w:rsidRPr="00EC62CE">
        <w:rPr>
          <w:sz w:val="22"/>
          <w:szCs w:val="22"/>
          <w:shd w:val="clear" w:color="auto" w:fill="FFFFFF"/>
        </w:rPr>
        <w:t xml:space="preserve"> en su comparativa con el sector inmerso en un esquema de subordinación.</w:t>
      </w:r>
      <w:r w:rsidRPr="00EC62CE">
        <w:rPr>
          <w:sz w:val="22"/>
          <w:szCs w:val="22"/>
          <w:shd w:val="clear" w:color="auto" w:fill="FFFFFF"/>
        </w:rPr>
        <w:t xml:space="preserve"> </w:t>
      </w:r>
      <w:r w:rsidR="001B6A37" w:rsidRPr="00EC62CE">
        <w:rPr>
          <w:sz w:val="22"/>
          <w:szCs w:val="22"/>
          <w:shd w:val="clear" w:color="auto" w:fill="FFFFFF"/>
        </w:rPr>
        <w:t xml:space="preserve">En números, </w:t>
      </w:r>
      <w:r w:rsidR="000960B3" w:rsidRPr="00EC62CE">
        <w:rPr>
          <w:sz w:val="22"/>
          <w:szCs w:val="22"/>
          <w:shd w:val="clear" w:color="auto" w:fill="FFFFFF"/>
        </w:rPr>
        <w:t xml:space="preserve">en </w:t>
      </w:r>
      <w:r w:rsidR="001B6A37" w:rsidRPr="00EC62CE">
        <w:rPr>
          <w:sz w:val="22"/>
          <w:szCs w:val="22"/>
          <w:shd w:val="clear" w:color="auto" w:fill="FFFFFF"/>
        </w:rPr>
        <w:t>e</w:t>
      </w:r>
      <w:r w:rsidR="00F43B3E" w:rsidRPr="00EC62CE">
        <w:rPr>
          <w:sz w:val="22"/>
          <w:szCs w:val="22"/>
          <w:shd w:val="clear" w:color="auto" w:fill="FFFFFF"/>
        </w:rPr>
        <w:t xml:space="preserve">l Estado de México mientras que las jefas de hogar que se desempeñan en esquemas de subordinación concentran a un 44 por ciento con ingresos menores a un salario mínimo, para el caso de las trabajadoras independientes esta concentración aumenta hasta el </w:t>
      </w:r>
      <w:r w:rsidR="00C75825" w:rsidRPr="00EC62CE">
        <w:rPr>
          <w:sz w:val="22"/>
          <w:szCs w:val="22"/>
          <w:shd w:val="clear" w:color="auto" w:fill="FFFFFF"/>
        </w:rPr>
        <w:t>67 por ciento.</w:t>
      </w:r>
    </w:p>
    <w:p w14:paraId="6C7608D5" w14:textId="073DCCD7" w:rsidR="007276D1" w:rsidRPr="00EC62CE" w:rsidRDefault="007276D1" w:rsidP="00CE14E8">
      <w:pPr>
        <w:autoSpaceDE w:val="0"/>
        <w:autoSpaceDN w:val="0"/>
        <w:adjustRightInd w:val="0"/>
        <w:rPr>
          <w:sz w:val="22"/>
          <w:szCs w:val="22"/>
          <w:shd w:val="clear" w:color="auto" w:fill="FFFFFF"/>
        </w:rPr>
      </w:pPr>
    </w:p>
    <w:p w14:paraId="68E81883" w14:textId="0B529CED" w:rsidR="007276D1" w:rsidRPr="00EC62CE" w:rsidRDefault="007276D1" w:rsidP="00CE14E8">
      <w:pPr>
        <w:autoSpaceDE w:val="0"/>
        <w:autoSpaceDN w:val="0"/>
        <w:adjustRightInd w:val="0"/>
        <w:rPr>
          <w:sz w:val="22"/>
          <w:szCs w:val="22"/>
          <w:shd w:val="clear" w:color="auto" w:fill="FFFFFF"/>
        </w:rPr>
      </w:pPr>
      <w:r w:rsidRPr="00EC62CE">
        <w:rPr>
          <w:sz w:val="22"/>
          <w:szCs w:val="22"/>
          <w:shd w:val="clear" w:color="auto" w:fill="FFFFFF"/>
        </w:rPr>
        <w:t xml:space="preserve">De esta manera, resulta </w:t>
      </w:r>
      <w:r w:rsidR="001B6A37" w:rsidRPr="00EC62CE">
        <w:rPr>
          <w:sz w:val="22"/>
          <w:szCs w:val="22"/>
          <w:shd w:val="clear" w:color="auto" w:fill="FFFFFF"/>
        </w:rPr>
        <w:t xml:space="preserve">importante sumar medidas que favorezcan la reducción de toda diferencia, brecha o desventaja dentro del mercado laboral del Estado de México, a la vez que se debe resaltar y reconocer la importancia que tiene la participación de la mujer trabajadora independiente al frente de una familia por su papel determinante dentro del mismo hogar, así como por </w:t>
      </w:r>
      <w:r w:rsidR="007B5996" w:rsidRPr="00EC62CE">
        <w:rPr>
          <w:sz w:val="22"/>
          <w:szCs w:val="22"/>
          <w:shd w:val="clear" w:color="auto" w:fill="FFFFFF"/>
        </w:rPr>
        <w:t xml:space="preserve">su participación en el mercado laboral dando apertura a </w:t>
      </w:r>
      <w:r w:rsidR="001B6A37" w:rsidRPr="00EC62CE">
        <w:rPr>
          <w:sz w:val="22"/>
          <w:szCs w:val="22"/>
          <w:shd w:val="clear" w:color="auto" w:fill="FFFFFF"/>
        </w:rPr>
        <w:t xml:space="preserve">nuevos canales de comercialización </w:t>
      </w:r>
      <w:r w:rsidR="007B5996" w:rsidRPr="00EC62CE">
        <w:rPr>
          <w:sz w:val="22"/>
          <w:szCs w:val="22"/>
          <w:shd w:val="clear" w:color="auto" w:fill="FFFFFF"/>
        </w:rPr>
        <w:t>para superar las barreras impuestas por la crisis sanitaria.</w:t>
      </w:r>
    </w:p>
    <w:p w14:paraId="54A0A0AC" w14:textId="3140C01A" w:rsidR="0015253F" w:rsidRPr="00EC62CE" w:rsidRDefault="0015253F" w:rsidP="00CE14E8">
      <w:pPr>
        <w:autoSpaceDE w:val="0"/>
        <w:autoSpaceDN w:val="0"/>
        <w:adjustRightInd w:val="0"/>
        <w:rPr>
          <w:sz w:val="22"/>
          <w:szCs w:val="22"/>
          <w:shd w:val="clear" w:color="auto" w:fill="FFFFFF"/>
        </w:rPr>
      </w:pPr>
    </w:p>
    <w:p w14:paraId="37846C26" w14:textId="08059238" w:rsidR="000513EC" w:rsidRPr="00625DF1" w:rsidRDefault="009B6600" w:rsidP="00074AD8">
      <w:pPr>
        <w:rPr>
          <w:sz w:val="22"/>
          <w:szCs w:val="22"/>
          <w:shd w:val="clear" w:color="auto" w:fill="FFFFFF"/>
        </w:rPr>
      </w:pPr>
      <w:r w:rsidRPr="00625DF1">
        <w:rPr>
          <w:sz w:val="22"/>
          <w:szCs w:val="22"/>
          <w:shd w:val="clear" w:color="auto" w:fill="FFFFFF"/>
        </w:rPr>
        <w:t xml:space="preserve">Con base en lo </w:t>
      </w:r>
      <w:r w:rsidR="000513EC" w:rsidRPr="00625DF1">
        <w:rPr>
          <w:sz w:val="22"/>
          <w:szCs w:val="22"/>
          <w:shd w:val="clear" w:color="auto" w:fill="FFFFFF"/>
        </w:rPr>
        <w:t xml:space="preserve">expuesto, se somete a consideración de </w:t>
      </w:r>
      <w:r w:rsidRPr="00625DF1">
        <w:rPr>
          <w:sz w:val="22"/>
          <w:szCs w:val="22"/>
          <w:shd w:val="clear" w:color="auto" w:fill="FFFFFF"/>
        </w:rPr>
        <w:t>esa</w:t>
      </w:r>
      <w:r w:rsidR="000513EC" w:rsidRPr="00625DF1">
        <w:rPr>
          <w:sz w:val="22"/>
          <w:szCs w:val="22"/>
          <w:shd w:val="clear" w:color="auto" w:fill="FFFFFF"/>
        </w:rPr>
        <w:t xml:space="preserve"> </w:t>
      </w:r>
      <w:r w:rsidR="00C077DE" w:rsidRPr="00625DF1">
        <w:rPr>
          <w:sz w:val="22"/>
          <w:szCs w:val="22"/>
          <w:shd w:val="clear" w:color="auto" w:fill="FFFFFF"/>
        </w:rPr>
        <w:t xml:space="preserve">H. </w:t>
      </w:r>
      <w:r w:rsidR="000513EC" w:rsidRPr="00625DF1">
        <w:rPr>
          <w:sz w:val="22"/>
          <w:szCs w:val="22"/>
          <w:shd w:val="clear" w:color="auto" w:fill="FFFFFF"/>
        </w:rPr>
        <w:t xml:space="preserve">Legislatura </w:t>
      </w:r>
      <w:r w:rsidRPr="00625DF1">
        <w:rPr>
          <w:sz w:val="22"/>
          <w:szCs w:val="22"/>
          <w:shd w:val="clear" w:color="auto" w:fill="FFFFFF"/>
        </w:rPr>
        <w:t>por conducto de usted</w:t>
      </w:r>
      <w:r w:rsidR="00822FFD" w:rsidRPr="00625DF1">
        <w:rPr>
          <w:sz w:val="22"/>
          <w:szCs w:val="22"/>
          <w:shd w:val="clear" w:color="auto" w:fill="FFFFFF"/>
        </w:rPr>
        <w:t>,</w:t>
      </w:r>
      <w:r w:rsidR="000513EC" w:rsidRPr="00625DF1">
        <w:rPr>
          <w:sz w:val="22"/>
          <w:szCs w:val="22"/>
          <w:shd w:val="clear" w:color="auto" w:fill="FFFFFF"/>
        </w:rPr>
        <w:t xml:space="preserve"> la siguiente Iniciativa a fin de que, si lo estiman procedente, se apruebe en sus términos.</w:t>
      </w:r>
    </w:p>
    <w:p w14:paraId="6E35AE17" w14:textId="31720B44" w:rsidR="00217065" w:rsidRPr="00625DF1" w:rsidRDefault="00217065" w:rsidP="00074AD8">
      <w:pPr>
        <w:rPr>
          <w:sz w:val="22"/>
          <w:szCs w:val="22"/>
        </w:rPr>
      </w:pPr>
    </w:p>
    <w:p w14:paraId="47135488" w14:textId="77777777" w:rsidR="007400B3" w:rsidRPr="00E84DBE" w:rsidRDefault="007400B3">
      <w:pPr>
        <w:spacing w:after="160"/>
        <w:jc w:val="left"/>
        <w:rPr>
          <w:rFonts w:eastAsiaTheme="majorEastAsia" w:cstheme="majorBidi"/>
          <w:b/>
          <w:szCs w:val="32"/>
        </w:rPr>
      </w:pPr>
      <w:r w:rsidRPr="00E84DBE">
        <w:br w:type="page"/>
      </w:r>
    </w:p>
    <w:p w14:paraId="5EEFF445" w14:textId="77777777" w:rsidR="004F447C" w:rsidRDefault="004F447C" w:rsidP="00A72406">
      <w:pPr>
        <w:ind w:left="-567" w:right="-518"/>
        <w:rPr>
          <w:rFonts w:cs="Arial"/>
          <w:b/>
          <w:sz w:val="22"/>
          <w:szCs w:val="22"/>
        </w:rPr>
      </w:pPr>
    </w:p>
    <w:p w14:paraId="397E08AF" w14:textId="77777777" w:rsidR="00DC176D" w:rsidRPr="006C5FF9" w:rsidRDefault="00DC176D" w:rsidP="00A72406">
      <w:pPr>
        <w:ind w:left="-567" w:right="-518"/>
        <w:rPr>
          <w:rFonts w:cs="Arial"/>
          <w:b/>
          <w:sz w:val="22"/>
          <w:szCs w:val="22"/>
        </w:rPr>
      </w:pPr>
      <w:r>
        <w:rPr>
          <w:rFonts w:cs="Arial"/>
          <w:b/>
          <w:sz w:val="22"/>
          <w:szCs w:val="22"/>
        </w:rPr>
        <w:t>DECRETO NÚMERO:</w:t>
      </w:r>
    </w:p>
    <w:p w14:paraId="332000E2" w14:textId="77777777" w:rsidR="00DC176D" w:rsidRPr="006C5FF9" w:rsidRDefault="00DC176D" w:rsidP="00A72406">
      <w:pPr>
        <w:ind w:left="-567" w:right="-518"/>
        <w:rPr>
          <w:rFonts w:cs="Arial"/>
          <w:b/>
          <w:sz w:val="22"/>
          <w:szCs w:val="22"/>
        </w:rPr>
      </w:pPr>
      <w:r w:rsidRPr="006C5FF9">
        <w:rPr>
          <w:rFonts w:cs="Arial"/>
          <w:b/>
          <w:sz w:val="22"/>
          <w:szCs w:val="22"/>
        </w:rPr>
        <w:t>LA H. “LXI” LEGISLATURA</w:t>
      </w:r>
    </w:p>
    <w:p w14:paraId="6DCEB9BD" w14:textId="77777777" w:rsidR="00DC176D" w:rsidRPr="006C5FF9" w:rsidRDefault="00DC176D" w:rsidP="00A72406">
      <w:pPr>
        <w:ind w:left="-567" w:right="-518"/>
        <w:rPr>
          <w:rFonts w:cs="Arial"/>
          <w:b/>
          <w:sz w:val="22"/>
          <w:szCs w:val="22"/>
        </w:rPr>
      </w:pPr>
      <w:r w:rsidRPr="006C5FF9">
        <w:rPr>
          <w:rFonts w:cs="Arial"/>
          <w:b/>
          <w:sz w:val="22"/>
          <w:szCs w:val="22"/>
        </w:rPr>
        <w:t>DEL ESTADO DE MÉXICO</w:t>
      </w:r>
    </w:p>
    <w:p w14:paraId="2EB8671F" w14:textId="77777777" w:rsidR="00DC176D" w:rsidRPr="006C5FF9" w:rsidRDefault="00DC176D" w:rsidP="00A72406">
      <w:pPr>
        <w:ind w:left="-567" w:right="-518"/>
        <w:rPr>
          <w:rFonts w:cs="Arial"/>
          <w:b/>
          <w:sz w:val="22"/>
          <w:szCs w:val="22"/>
        </w:rPr>
      </w:pPr>
      <w:r w:rsidRPr="006C5FF9">
        <w:rPr>
          <w:rFonts w:cs="Arial"/>
          <w:b/>
          <w:sz w:val="22"/>
          <w:szCs w:val="22"/>
        </w:rPr>
        <w:t>DECRETA:</w:t>
      </w:r>
    </w:p>
    <w:p w14:paraId="08FA6513" w14:textId="77777777" w:rsidR="000513EC" w:rsidRPr="00E84DBE" w:rsidRDefault="000513EC" w:rsidP="00A72406">
      <w:pPr>
        <w:ind w:left="-567" w:right="-518"/>
      </w:pPr>
    </w:p>
    <w:p w14:paraId="0904324B" w14:textId="233A404C" w:rsidR="000513EC" w:rsidRPr="003124A7" w:rsidRDefault="004D0108" w:rsidP="00A72406">
      <w:pPr>
        <w:pStyle w:val="Ttulo1"/>
        <w:ind w:left="-567" w:right="-518"/>
        <w:jc w:val="center"/>
        <w:rPr>
          <w:sz w:val="22"/>
          <w:szCs w:val="22"/>
        </w:rPr>
      </w:pPr>
      <w:r w:rsidRPr="003124A7">
        <w:rPr>
          <w:sz w:val="22"/>
          <w:szCs w:val="22"/>
        </w:rPr>
        <w:t>LEY DE INGRESOS DEL ESTADO DE MÉXICO</w:t>
      </w:r>
    </w:p>
    <w:p w14:paraId="010A170E" w14:textId="3D33A148" w:rsidR="00F81EF7" w:rsidRPr="003124A7" w:rsidRDefault="004D0108" w:rsidP="00A72406">
      <w:pPr>
        <w:ind w:left="-567" w:right="-518"/>
        <w:jc w:val="center"/>
        <w:rPr>
          <w:b/>
          <w:bCs/>
          <w:sz w:val="22"/>
          <w:szCs w:val="22"/>
        </w:rPr>
      </w:pPr>
      <w:r w:rsidRPr="003124A7">
        <w:rPr>
          <w:b/>
          <w:bCs/>
          <w:sz w:val="22"/>
          <w:szCs w:val="22"/>
        </w:rPr>
        <w:t xml:space="preserve">PARA EL EJERCICIO FISCAL </w:t>
      </w:r>
      <w:r w:rsidR="00602F1D" w:rsidRPr="003124A7">
        <w:rPr>
          <w:b/>
          <w:bCs/>
          <w:sz w:val="22"/>
          <w:szCs w:val="22"/>
        </w:rPr>
        <w:t>2023</w:t>
      </w:r>
    </w:p>
    <w:p w14:paraId="7B232336" w14:textId="7A8BE630" w:rsidR="004D0108" w:rsidRPr="003124A7" w:rsidRDefault="004D0108" w:rsidP="00A72406">
      <w:pPr>
        <w:ind w:left="-567" w:right="-518"/>
        <w:rPr>
          <w:sz w:val="22"/>
          <w:szCs w:val="22"/>
        </w:rPr>
      </w:pPr>
    </w:p>
    <w:p w14:paraId="7E037764" w14:textId="4622415E" w:rsidR="003F0AEC" w:rsidRPr="003124A7" w:rsidRDefault="000960B3" w:rsidP="00A72406">
      <w:pPr>
        <w:pStyle w:val="Ttulo2"/>
        <w:spacing w:before="0"/>
        <w:ind w:left="-567" w:right="-518"/>
        <w:rPr>
          <w:sz w:val="22"/>
          <w:szCs w:val="22"/>
        </w:rPr>
      </w:pPr>
      <w:bookmarkStart w:id="1" w:name="_Hlk86067505"/>
      <w:r w:rsidRPr="003124A7">
        <w:rPr>
          <w:b/>
          <w:bCs/>
          <w:sz w:val="22"/>
          <w:szCs w:val="22"/>
        </w:rPr>
        <w:t>Artículo 1.-</w:t>
      </w:r>
      <w:r w:rsidRPr="003124A7">
        <w:rPr>
          <w:sz w:val="22"/>
          <w:szCs w:val="22"/>
        </w:rPr>
        <w:t xml:space="preserve"> La Hacienda Pública del Estado de México percibirá durante el </w:t>
      </w:r>
      <w:r w:rsidR="00604441" w:rsidRPr="003124A7">
        <w:rPr>
          <w:sz w:val="22"/>
          <w:szCs w:val="22"/>
        </w:rPr>
        <w:t>E</w:t>
      </w:r>
      <w:r w:rsidRPr="003124A7">
        <w:rPr>
          <w:sz w:val="22"/>
          <w:szCs w:val="22"/>
        </w:rPr>
        <w:t xml:space="preserve">jercicio </w:t>
      </w:r>
      <w:r w:rsidR="00604441" w:rsidRPr="003124A7">
        <w:rPr>
          <w:sz w:val="22"/>
          <w:szCs w:val="22"/>
        </w:rPr>
        <w:t>F</w:t>
      </w:r>
      <w:r w:rsidRPr="003124A7">
        <w:rPr>
          <w:sz w:val="22"/>
          <w:szCs w:val="22"/>
        </w:rPr>
        <w:t>iscal 2023, los ingresos provenientes de los conceptos y en las cantidades estimadas que a continuación se enumeran:</w:t>
      </w:r>
      <w:bookmarkStart w:id="2" w:name="_Hlk86067467"/>
      <w:bookmarkEnd w:id="1"/>
    </w:p>
    <w:p w14:paraId="2B3282E0" w14:textId="12A1A170" w:rsidR="002B1A02" w:rsidRPr="004F447C" w:rsidRDefault="002B1A02" w:rsidP="002B1A02">
      <w:pPr>
        <w:rPr>
          <w:sz w:val="12"/>
          <w:szCs w:val="12"/>
        </w:rPr>
      </w:pPr>
    </w:p>
    <w:tbl>
      <w:tblPr>
        <w:tblW w:w="9919" w:type="dxa"/>
        <w:jc w:val="center"/>
        <w:tblCellMar>
          <w:left w:w="70" w:type="dxa"/>
          <w:right w:w="70" w:type="dxa"/>
        </w:tblCellMar>
        <w:tblLook w:val="04A0" w:firstRow="1" w:lastRow="0" w:firstColumn="1" w:lastColumn="0" w:noHBand="0" w:noVBand="1"/>
      </w:tblPr>
      <w:tblGrid>
        <w:gridCol w:w="307"/>
        <w:gridCol w:w="500"/>
        <w:gridCol w:w="641"/>
        <w:gridCol w:w="850"/>
        <w:gridCol w:w="1134"/>
        <w:gridCol w:w="1939"/>
        <w:gridCol w:w="1566"/>
        <w:gridCol w:w="1492"/>
        <w:gridCol w:w="1492"/>
      </w:tblGrid>
      <w:tr w:rsidR="002B1A02" w:rsidRPr="00E45F9D" w14:paraId="34CD8C6A" w14:textId="77777777" w:rsidTr="00C10263">
        <w:trPr>
          <w:trHeight w:val="255"/>
          <w:jc w:val="center"/>
        </w:trPr>
        <w:tc>
          <w:tcPr>
            <w:tcW w:w="307" w:type="dxa"/>
            <w:shd w:val="clear" w:color="000000" w:fill="FFFFFF"/>
            <w:noWrap/>
            <w:hideMark/>
          </w:tcPr>
          <w:p w14:paraId="023565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58F77E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BF80AF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5C8ECE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383672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1BE4C44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324B60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10B9D811"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44A2CE34"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(Pesos)</w:t>
            </w:r>
          </w:p>
        </w:tc>
      </w:tr>
      <w:tr w:rsidR="002B1A02" w:rsidRPr="00E45F9D" w14:paraId="4A17960C" w14:textId="77777777" w:rsidTr="00C10263">
        <w:trPr>
          <w:trHeight w:val="255"/>
          <w:jc w:val="center"/>
        </w:trPr>
        <w:tc>
          <w:tcPr>
            <w:tcW w:w="5369" w:type="dxa"/>
            <w:gridSpan w:val="6"/>
            <w:shd w:val="clear" w:color="000000" w:fill="FFFFFF"/>
            <w:noWrap/>
            <w:hideMark/>
          </w:tcPr>
          <w:p w14:paraId="4C908B16"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Total</w:t>
            </w:r>
          </w:p>
        </w:tc>
        <w:tc>
          <w:tcPr>
            <w:tcW w:w="1566" w:type="dxa"/>
            <w:shd w:val="clear" w:color="000000" w:fill="FFFFFF"/>
            <w:noWrap/>
            <w:hideMark/>
          </w:tcPr>
          <w:p w14:paraId="603496E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5C8DA91B"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419D4973"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356,816,941,532</w:t>
            </w:r>
          </w:p>
        </w:tc>
      </w:tr>
      <w:tr w:rsidR="002B1A02" w:rsidRPr="00E45F9D" w14:paraId="7DE5B853" w14:textId="77777777" w:rsidTr="00C10263">
        <w:trPr>
          <w:trHeight w:val="255"/>
          <w:jc w:val="center"/>
        </w:trPr>
        <w:tc>
          <w:tcPr>
            <w:tcW w:w="307" w:type="dxa"/>
            <w:shd w:val="clear" w:color="000000" w:fill="FFFFFF"/>
            <w:noWrap/>
            <w:hideMark/>
          </w:tcPr>
          <w:p w14:paraId="05E418F7"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1.</w:t>
            </w:r>
          </w:p>
        </w:tc>
        <w:tc>
          <w:tcPr>
            <w:tcW w:w="5062" w:type="dxa"/>
            <w:gridSpan w:val="5"/>
            <w:shd w:val="clear" w:color="000000" w:fill="FFFFFF"/>
            <w:noWrap/>
            <w:hideMark/>
          </w:tcPr>
          <w:p w14:paraId="1A9E5D9A"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Impuestos:</w:t>
            </w:r>
          </w:p>
        </w:tc>
        <w:tc>
          <w:tcPr>
            <w:tcW w:w="1566" w:type="dxa"/>
            <w:shd w:val="clear" w:color="000000" w:fill="FFFFFF"/>
            <w:noWrap/>
            <w:hideMark/>
          </w:tcPr>
          <w:p w14:paraId="4879945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7B3BCA2E"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24,258,736,384</w:t>
            </w:r>
          </w:p>
        </w:tc>
        <w:tc>
          <w:tcPr>
            <w:tcW w:w="1492" w:type="dxa"/>
            <w:shd w:val="clear" w:color="000000" w:fill="FFFFFF"/>
            <w:noWrap/>
            <w:hideMark/>
          </w:tcPr>
          <w:p w14:paraId="3FC82FF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A20F3F3" w14:textId="77777777" w:rsidTr="00C10263">
        <w:trPr>
          <w:trHeight w:val="255"/>
          <w:jc w:val="center"/>
        </w:trPr>
        <w:tc>
          <w:tcPr>
            <w:tcW w:w="307" w:type="dxa"/>
            <w:shd w:val="clear" w:color="000000" w:fill="FFFFFF"/>
            <w:noWrap/>
            <w:hideMark/>
          </w:tcPr>
          <w:p w14:paraId="70DD49E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469FA0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1.2</w:t>
            </w:r>
          </w:p>
        </w:tc>
        <w:tc>
          <w:tcPr>
            <w:tcW w:w="4562" w:type="dxa"/>
            <w:gridSpan w:val="4"/>
            <w:shd w:val="clear" w:color="000000" w:fill="FFFFFF"/>
            <w:noWrap/>
            <w:hideMark/>
          </w:tcPr>
          <w:p w14:paraId="20A93B1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Impuestos sobre el Patrimonio:</w:t>
            </w:r>
          </w:p>
        </w:tc>
        <w:tc>
          <w:tcPr>
            <w:tcW w:w="1566" w:type="dxa"/>
            <w:shd w:val="clear" w:color="000000" w:fill="FFFFFF"/>
            <w:noWrap/>
            <w:hideMark/>
          </w:tcPr>
          <w:p w14:paraId="174D319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8,577,998,138</w:t>
            </w:r>
          </w:p>
        </w:tc>
        <w:tc>
          <w:tcPr>
            <w:tcW w:w="1492" w:type="dxa"/>
            <w:shd w:val="clear" w:color="auto" w:fill="auto"/>
            <w:noWrap/>
            <w:hideMark/>
          </w:tcPr>
          <w:p w14:paraId="0773F28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62AFC6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00458DE" w14:textId="77777777" w:rsidTr="00C10263">
        <w:trPr>
          <w:trHeight w:val="315"/>
          <w:jc w:val="center"/>
        </w:trPr>
        <w:tc>
          <w:tcPr>
            <w:tcW w:w="307" w:type="dxa"/>
            <w:shd w:val="clear" w:color="000000" w:fill="FFFFFF"/>
            <w:noWrap/>
            <w:hideMark/>
          </w:tcPr>
          <w:p w14:paraId="1D3B7B8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DFEEA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775E42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1.2.1</w:t>
            </w:r>
          </w:p>
        </w:tc>
        <w:tc>
          <w:tcPr>
            <w:tcW w:w="3923" w:type="dxa"/>
            <w:gridSpan w:val="3"/>
            <w:shd w:val="clear" w:color="000000" w:fill="FFFFFF"/>
            <w:noWrap/>
            <w:hideMark/>
          </w:tcPr>
          <w:p w14:paraId="50BF390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Sobre Tenencia o Uso de Vehículos.</w:t>
            </w:r>
          </w:p>
        </w:tc>
        <w:tc>
          <w:tcPr>
            <w:tcW w:w="1566" w:type="dxa"/>
            <w:shd w:val="clear" w:color="000000" w:fill="FFFFFF"/>
            <w:noWrap/>
            <w:hideMark/>
          </w:tcPr>
          <w:p w14:paraId="52FAF77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8,469,693,550</w:t>
            </w:r>
          </w:p>
        </w:tc>
        <w:tc>
          <w:tcPr>
            <w:tcW w:w="1492" w:type="dxa"/>
            <w:shd w:val="clear" w:color="auto" w:fill="auto"/>
            <w:noWrap/>
            <w:hideMark/>
          </w:tcPr>
          <w:p w14:paraId="00F36B3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565DE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0B1D444" w14:textId="77777777" w:rsidTr="00C10263">
        <w:trPr>
          <w:trHeight w:val="400"/>
          <w:jc w:val="center"/>
        </w:trPr>
        <w:tc>
          <w:tcPr>
            <w:tcW w:w="307" w:type="dxa"/>
            <w:shd w:val="clear" w:color="000000" w:fill="FFFFFF"/>
            <w:noWrap/>
            <w:hideMark/>
          </w:tcPr>
          <w:p w14:paraId="41D1E7D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CB82B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06D0EE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1.2.2</w:t>
            </w:r>
          </w:p>
        </w:tc>
        <w:tc>
          <w:tcPr>
            <w:tcW w:w="3923" w:type="dxa"/>
            <w:gridSpan w:val="3"/>
            <w:shd w:val="clear" w:color="000000" w:fill="FFFFFF"/>
            <w:noWrap/>
            <w:hideMark/>
          </w:tcPr>
          <w:p w14:paraId="62E1A5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Sobre la Adquisición de Vehículos Automotores Usados.</w:t>
            </w:r>
          </w:p>
        </w:tc>
        <w:tc>
          <w:tcPr>
            <w:tcW w:w="1566" w:type="dxa"/>
            <w:shd w:val="clear" w:color="000000" w:fill="FFFFFF"/>
            <w:noWrap/>
            <w:hideMark/>
          </w:tcPr>
          <w:p w14:paraId="05A8936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108,304,588</w:t>
            </w:r>
          </w:p>
        </w:tc>
        <w:tc>
          <w:tcPr>
            <w:tcW w:w="1492" w:type="dxa"/>
            <w:shd w:val="clear" w:color="auto" w:fill="auto"/>
            <w:noWrap/>
            <w:hideMark/>
          </w:tcPr>
          <w:p w14:paraId="2F2AAEE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383C1E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A4ED20B" w14:textId="77777777" w:rsidTr="00C10263">
        <w:trPr>
          <w:trHeight w:val="540"/>
          <w:jc w:val="center"/>
        </w:trPr>
        <w:tc>
          <w:tcPr>
            <w:tcW w:w="307" w:type="dxa"/>
            <w:shd w:val="clear" w:color="000000" w:fill="FFFFFF"/>
            <w:noWrap/>
            <w:hideMark/>
          </w:tcPr>
          <w:p w14:paraId="0129146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FFFF21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1.3</w:t>
            </w:r>
          </w:p>
        </w:tc>
        <w:tc>
          <w:tcPr>
            <w:tcW w:w="4562" w:type="dxa"/>
            <w:gridSpan w:val="4"/>
            <w:shd w:val="clear" w:color="000000" w:fill="FFFFFF"/>
            <w:noWrap/>
            <w:hideMark/>
          </w:tcPr>
          <w:p w14:paraId="38F6DA7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Impuestos sobre la Producción, el Consumo y las Transacciones:</w:t>
            </w:r>
          </w:p>
        </w:tc>
        <w:tc>
          <w:tcPr>
            <w:tcW w:w="1566" w:type="dxa"/>
            <w:shd w:val="clear" w:color="000000" w:fill="FFFFFF"/>
            <w:noWrap/>
            <w:hideMark/>
          </w:tcPr>
          <w:p w14:paraId="712897A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302,831,379</w:t>
            </w:r>
          </w:p>
        </w:tc>
        <w:tc>
          <w:tcPr>
            <w:tcW w:w="1492" w:type="dxa"/>
            <w:shd w:val="clear" w:color="auto" w:fill="auto"/>
            <w:noWrap/>
            <w:hideMark/>
          </w:tcPr>
          <w:p w14:paraId="3D4DF61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2E5F0A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F89CC7E" w14:textId="77777777" w:rsidTr="00C10263">
        <w:trPr>
          <w:trHeight w:val="540"/>
          <w:jc w:val="center"/>
        </w:trPr>
        <w:tc>
          <w:tcPr>
            <w:tcW w:w="307" w:type="dxa"/>
            <w:shd w:val="clear" w:color="000000" w:fill="FFFFFF"/>
            <w:noWrap/>
            <w:hideMark/>
          </w:tcPr>
          <w:p w14:paraId="3CDCEF0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2C9A85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D4C0D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1.3.1</w:t>
            </w:r>
          </w:p>
        </w:tc>
        <w:tc>
          <w:tcPr>
            <w:tcW w:w="3923" w:type="dxa"/>
            <w:gridSpan w:val="3"/>
            <w:shd w:val="clear" w:color="000000" w:fill="FFFFFF"/>
            <w:noWrap/>
            <w:hideMark/>
          </w:tcPr>
          <w:p w14:paraId="39B02B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Sobre la Prestación de Servicios de Hospedaje.</w:t>
            </w:r>
          </w:p>
        </w:tc>
        <w:tc>
          <w:tcPr>
            <w:tcW w:w="1566" w:type="dxa"/>
            <w:shd w:val="clear" w:color="000000" w:fill="FFFFFF"/>
            <w:noWrap/>
            <w:hideMark/>
          </w:tcPr>
          <w:p w14:paraId="3677DEA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92,509,221</w:t>
            </w:r>
          </w:p>
        </w:tc>
        <w:tc>
          <w:tcPr>
            <w:tcW w:w="1492" w:type="dxa"/>
            <w:shd w:val="clear" w:color="auto" w:fill="auto"/>
            <w:noWrap/>
            <w:hideMark/>
          </w:tcPr>
          <w:p w14:paraId="2FA48D5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6D048E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B7F927B" w14:textId="77777777" w:rsidTr="00C10263">
        <w:trPr>
          <w:trHeight w:val="540"/>
          <w:jc w:val="center"/>
        </w:trPr>
        <w:tc>
          <w:tcPr>
            <w:tcW w:w="307" w:type="dxa"/>
            <w:shd w:val="clear" w:color="000000" w:fill="FFFFFF"/>
            <w:noWrap/>
            <w:hideMark/>
          </w:tcPr>
          <w:p w14:paraId="3476B9F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9C826E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E89F37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1.3.2</w:t>
            </w:r>
          </w:p>
        </w:tc>
        <w:tc>
          <w:tcPr>
            <w:tcW w:w="3923" w:type="dxa"/>
            <w:gridSpan w:val="3"/>
            <w:shd w:val="clear" w:color="000000" w:fill="FFFFFF"/>
            <w:noWrap/>
            <w:hideMark/>
          </w:tcPr>
          <w:p w14:paraId="2D4D09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 la Venta Final de Bebidas con Contenido Alcohólico.</w:t>
            </w:r>
          </w:p>
        </w:tc>
        <w:tc>
          <w:tcPr>
            <w:tcW w:w="1566" w:type="dxa"/>
            <w:shd w:val="clear" w:color="000000" w:fill="FFFFFF"/>
            <w:noWrap/>
            <w:hideMark/>
          </w:tcPr>
          <w:p w14:paraId="7F6D5AB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205,009,158</w:t>
            </w:r>
          </w:p>
        </w:tc>
        <w:tc>
          <w:tcPr>
            <w:tcW w:w="1492" w:type="dxa"/>
            <w:shd w:val="clear" w:color="auto" w:fill="auto"/>
            <w:noWrap/>
            <w:hideMark/>
          </w:tcPr>
          <w:p w14:paraId="213F5E6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715699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3BA23C5" w14:textId="77777777" w:rsidTr="00C10263">
        <w:trPr>
          <w:trHeight w:val="246"/>
          <w:jc w:val="center"/>
        </w:trPr>
        <w:tc>
          <w:tcPr>
            <w:tcW w:w="307" w:type="dxa"/>
            <w:shd w:val="clear" w:color="000000" w:fill="FFFFFF"/>
            <w:noWrap/>
            <w:hideMark/>
          </w:tcPr>
          <w:p w14:paraId="5823320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942287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A17C18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1.3.3</w:t>
            </w:r>
          </w:p>
        </w:tc>
        <w:tc>
          <w:tcPr>
            <w:tcW w:w="3923" w:type="dxa"/>
            <w:gridSpan w:val="3"/>
            <w:shd w:val="clear" w:color="000000" w:fill="FFFFFF"/>
            <w:noWrap/>
            <w:hideMark/>
          </w:tcPr>
          <w:p w14:paraId="5C6890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 Casas de Empeño.</w:t>
            </w:r>
          </w:p>
        </w:tc>
        <w:tc>
          <w:tcPr>
            <w:tcW w:w="1566" w:type="dxa"/>
            <w:shd w:val="clear" w:color="000000" w:fill="FFFFFF"/>
            <w:noWrap/>
            <w:hideMark/>
          </w:tcPr>
          <w:p w14:paraId="327179F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5,313,000</w:t>
            </w:r>
          </w:p>
        </w:tc>
        <w:tc>
          <w:tcPr>
            <w:tcW w:w="1492" w:type="dxa"/>
            <w:shd w:val="clear" w:color="auto" w:fill="auto"/>
            <w:noWrap/>
            <w:hideMark/>
          </w:tcPr>
          <w:p w14:paraId="466055A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8C334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27D1CBF" w14:textId="77777777" w:rsidTr="00C10263">
        <w:trPr>
          <w:trHeight w:val="255"/>
          <w:jc w:val="center"/>
        </w:trPr>
        <w:tc>
          <w:tcPr>
            <w:tcW w:w="307" w:type="dxa"/>
            <w:shd w:val="clear" w:color="000000" w:fill="FFFFFF"/>
            <w:noWrap/>
            <w:hideMark/>
          </w:tcPr>
          <w:p w14:paraId="46FB26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C0449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1.5</w:t>
            </w:r>
          </w:p>
        </w:tc>
        <w:tc>
          <w:tcPr>
            <w:tcW w:w="4562" w:type="dxa"/>
            <w:gridSpan w:val="4"/>
            <w:shd w:val="clear" w:color="000000" w:fill="FFFFFF"/>
            <w:noWrap/>
            <w:hideMark/>
          </w:tcPr>
          <w:p w14:paraId="3B8824C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Impuestos sobre Nóminas y Asimilables:</w:t>
            </w:r>
          </w:p>
        </w:tc>
        <w:tc>
          <w:tcPr>
            <w:tcW w:w="1566" w:type="dxa"/>
            <w:shd w:val="clear" w:color="000000" w:fill="FFFFFF"/>
            <w:noWrap/>
            <w:hideMark/>
          </w:tcPr>
          <w:p w14:paraId="70F8015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14,890,698,131</w:t>
            </w:r>
          </w:p>
        </w:tc>
        <w:tc>
          <w:tcPr>
            <w:tcW w:w="1492" w:type="dxa"/>
            <w:shd w:val="clear" w:color="auto" w:fill="auto"/>
            <w:noWrap/>
            <w:hideMark/>
          </w:tcPr>
          <w:p w14:paraId="7557798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7DD5E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F86D518" w14:textId="77777777" w:rsidTr="00C10263">
        <w:trPr>
          <w:trHeight w:val="555"/>
          <w:jc w:val="center"/>
        </w:trPr>
        <w:tc>
          <w:tcPr>
            <w:tcW w:w="307" w:type="dxa"/>
            <w:shd w:val="clear" w:color="000000" w:fill="FFFFFF"/>
            <w:noWrap/>
            <w:hideMark/>
          </w:tcPr>
          <w:p w14:paraId="54C4A35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6BB96F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59BC22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1.5.1</w:t>
            </w:r>
          </w:p>
        </w:tc>
        <w:tc>
          <w:tcPr>
            <w:tcW w:w="3923" w:type="dxa"/>
            <w:gridSpan w:val="3"/>
            <w:shd w:val="clear" w:color="000000" w:fill="FFFFFF"/>
            <w:noWrap/>
            <w:hideMark/>
          </w:tcPr>
          <w:p w14:paraId="3373F0A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Sobre Erogaciones por Remuneraciones al Trabajo Personal.</w:t>
            </w:r>
          </w:p>
        </w:tc>
        <w:tc>
          <w:tcPr>
            <w:tcW w:w="1566" w:type="dxa"/>
            <w:shd w:val="clear" w:color="000000" w:fill="FFFFFF"/>
            <w:noWrap/>
            <w:hideMark/>
          </w:tcPr>
          <w:p w14:paraId="01E480D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14,890,698,131</w:t>
            </w:r>
          </w:p>
        </w:tc>
        <w:tc>
          <w:tcPr>
            <w:tcW w:w="1492" w:type="dxa"/>
            <w:shd w:val="clear" w:color="auto" w:fill="auto"/>
            <w:noWrap/>
            <w:hideMark/>
          </w:tcPr>
          <w:p w14:paraId="362EFB0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36187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DDE94CB" w14:textId="77777777" w:rsidTr="00C10263">
        <w:trPr>
          <w:trHeight w:val="330"/>
          <w:jc w:val="center"/>
        </w:trPr>
        <w:tc>
          <w:tcPr>
            <w:tcW w:w="307" w:type="dxa"/>
            <w:shd w:val="clear" w:color="000000" w:fill="FFFFFF"/>
            <w:noWrap/>
            <w:hideMark/>
          </w:tcPr>
          <w:p w14:paraId="42A9A54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13576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1.6</w:t>
            </w:r>
          </w:p>
        </w:tc>
        <w:tc>
          <w:tcPr>
            <w:tcW w:w="4562" w:type="dxa"/>
            <w:gridSpan w:val="4"/>
            <w:shd w:val="clear" w:color="000000" w:fill="FFFFFF"/>
            <w:noWrap/>
            <w:hideMark/>
          </w:tcPr>
          <w:p w14:paraId="7B119AB8" w14:textId="07911DE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Impuestos Ecológicos</w:t>
            </w:r>
            <w:r w:rsidR="006031C7" w:rsidRPr="00C10263">
              <w:rPr>
                <w:rFonts w:eastAsia="Times New Roman" w:cs="Times New Roman"/>
                <w:color w:val="000000"/>
                <w:sz w:val="18"/>
                <w:szCs w:val="18"/>
                <w:lang w:eastAsia="es-MX"/>
              </w:rPr>
              <w:t>:</w:t>
            </w:r>
            <w:r w:rsidRPr="00C10263">
              <w:rPr>
                <w:rFonts w:eastAsia="Times New Roman" w:cs="Times New Roman"/>
                <w:color w:val="000000"/>
                <w:sz w:val="18"/>
                <w:szCs w:val="18"/>
                <w:lang w:eastAsia="es-MX"/>
              </w:rPr>
              <w:t xml:space="preserve">  </w:t>
            </w:r>
          </w:p>
        </w:tc>
        <w:tc>
          <w:tcPr>
            <w:tcW w:w="1566" w:type="dxa"/>
            <w:shd w:val="clear" w:color="000000" w:fill="FFFFFF"/>
            <w:noWrap/>
            <w:hideMark/>
          </w:tcPr>
          <w:p w14:paraId="6D69781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85,008,000</w:t>
            </w:r>
          </w:p>
        </w:tc>
        <w:tc>
          <w:tcPr>
            <w:tcW w:w="1492" w:type="dxa"/>
            <w:shd w:val="clear" w:color="auto" w:fill="auto"/>
            <w:noWrap/>
            <w:hideMark/>
          </w:tcPr>
          <w:p w14:paraId="0230B0F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100FC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4BF054A" w14:textId="77777777" w:rsidTr="00C10263">
        <w:trPr>
          <w:trHeight w:val="555"/>
          <w:jc w:val="center"/>
        </w:trPr>
        <w:tc>
          <w:tcPr>
            <w:tcW w:w="307" w:type="dxa"/>
            <w:shd w:val="clear" w:color="000000" w:fill="FFFFFF"/>
            <w:noWrap/>
            <w:hideMark/>
          </w:tcPr>
          <w:p w14:paraId="1EFEF6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64E11A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C06FF1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1.6.1</w:t>
            </w:r>
          </w:p>
        </w:tc>
        <w:tc>
          <w:tcPr>
            <w:tcW w:w="3923" w:type="dxa"/>
            <w:gridSpan w:val="3"/>
            <w:shd w:val="clear" w:color="000000" w:fill="FFFFFF"/>
            <w:hideMark/>
          </w:tcPr>
          <w:p w14:paraId="6374F8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Por la Emisión de Gases Contaminantes a la Atmósfera.</w:t>
            </w:r>
          </w:p>
        </w:tc>
        <w:tc>
          <w:tcPr>
            <w:tcW w:w="1566" w:type="dxa"/>
            <w:shd w:val="clear" w:color="000000" w:fill="FFFFFF"/>
            <w:noWrap/>
            <w:hideMark/>
          </w:tcPr>
          <w:p w14:paraId="1973529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85,008,000</w:t>
            </w:r>
          </w:p>
        </w:tc>
        <w:tc>
          <w:tcPr>
            <w:tcW w:w="1492" w:type="dxa"/>
            <w:shd w:val="clear" w:color="auto" w:fill="auto"/>
            <w:noWrap/>
            <w:hideMark/>
          </w:tcPr>
          <w:p w14:paraId="7835433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E60DB0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243877D" w14:textId="77777777" w:rsidTr="00C10263">
        <w:trPr>
          <w:trHeight w:val="255"/>
          <w:jc w:val="center"/>
        </w:trPr>
        <w:tc>
          <w:tcPr>
            <w:tcW w:w="307" w:type="dxa"/>
            <w:shd w:val="clear" w:color="000000" w:fill="FFFFFF"/>
            <w:noWrap/>
            <w:hideMark/>
          </w:tcPr>
          <w:p w14:paraId="3F3AC3B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C7444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1.7</w:t>
            </w:r>
          </w:p>
        </w:tc>
        <w:tc>
          <w:tcPr>
            <w:tcW w:w="4562" w:type="dxa"/>
            <w:gridSpan w:val="4"/>
            <w:shd w:val="clear" w:color="000000" w:fill="FFFFFF"/>
            <w:noWrap/>
            <w:hideMark/>
          </w:tcPr>
          <w:p w14:paraId="2370672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Accesorios de Impuestos:</w:t>
            </w:r>
          </w:p>
        </w:tc>
        <w:tc>
          <w:tcPr>
            <w:tcW w:w="1566" w:type="dxa"/>
            <w:shd w:val="clear" w:color="000000" w:fill="FFFFFF"/>
            <w:noWrap/>
            <w:hideMark/>
          </w:tcPr>
          <w:p w14:paraId="2A3301B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243,305,365</w:t>
            </w:r>
          </w:p>
        </w:tc>
        <w:tc>
          <w:tcPr>
            <w:tcW w:w="1492" w:type="dxa"/>
            <w:shd w:val="clear" w:color="auto" w:fill="auto"/>
            <w:noWrap/>
            <w:hideMark/>
          </w:tcPr>
          <w:p w14:paraId="01D49CB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48C37B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85091FD" w14:textId="77777777" w:rsidTr="00C10263">
        <w:trPr>
          <w:trHeight w:val="255"/>
          <w:jc w:val="center"/>
        </w:trPr>
        <w:tc>
          <w:tcPr>
            <w:tcW w:w="307" w:type="dxa"/>
            <w:shd w:val="clear" w:color="000000" w:fill="FFFFFF"/>
            <w:noWrap/>
            <w:hideMark/>
          </w:tcPr>
          <w:p w14:paraId="13B17C8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B02669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62751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1.7.1</w:t>
            </w:r>
          </w:p>
        </w:tc>
        <w:tc>
          <w:tcPr>
            <w:tcW w:w="3923" w:type="dxa"/>
            <w:gridSpan w:val="3"/>
            <w:shd w:val="clear" w:color="000000" w:fill="FFFFFF"/>
            <w:noWrap/>
            <w:hideMark/>
          </w:tcPr>
          <w:p w14:paraId="6D65EC2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Multas.</w:t>
            </w:r>
          </w:p>
        </w:tc>
        <w:tc>
          <w:tcPr>
            <w:tcW w:w="1566" w:type="dxa"/>
            <w:shd w:val="clear" w:color="000000" w:fill="FFFFFF"/>
            <w:noWrap/>
            <w:hideMark/>
          </w:tcPr>
          <w:p w14:paraId="7A2097E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9,915,156</w:t>
            </w:r>
          </w:p>
        </w:tc>
        <w:tc>
          <w:tcPr>
            <w:tcW w:w="1492" w:type="dxa"/>
            <w:shd w:val="clear" w:color="auto" w:fill="auto"/>
            <w:noWrap/>
            <w:hideMark/>
          </w:tcPr>
          <w:p w14:paraId="4F71A60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5FB64A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81E1B18" w14:textId="77777777" w:rsidTr="00C10263">
        <w:trPr>
          <w:trHeight w:val="255"/>
          <w:jc w:val="center"/>
        </w:trPr>
        <w:tc>
          <w:tcPr>
            <w:tcW w:w="307" w:type="dxa"/>
            <w:shd w:val="clear" w:color="000000" w:fill="FFFFFF"/>
            <w:noWrap/>
            <w:hideMark/>
          </w:tcPr>
          <w:p w14:paraId="35FD696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5C194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E5B4A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1.7.2</w:t>
            </w:r>
          </w:p>
        </w:tc>
        <w:tc>
          <w:tcPr>
            <w:tcW w:w="3923" w:type="dxa"/>
            <w:gridSpan w:val="3"/>
            <w:shd w:val="clear" w:color="000000" w:fill="FFFFFF"/>
            <w:noWrap/>
            <w:hideMark/>
          </w:tcPr>
          <w:p w14:paraId="0F3FBB7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Recargos.</w:t>
            </w:r>
          </w:p>
        </w:tc>
        <w:tc>
          <w:tcPr>
            <w:tcW w:w="1566" w:type="dxa"/>
            <w:shd w:val="clear" w:color="000000" w:fill="FFFFFF"/>
            <w:noWrap/>
            <w:hideMark/>
          </w:tcPr>
          <w:p w14:paraId="1B08297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233,144,063</w:t>
            </w:r>
          </w:p>
        </w:tc>
        <w:tc>
          <w:tcPr>
            <w:tcW w:w="1492" w:type="dxa"/>
            <w:shd w:val="clear" w:color="auto" w:fill="auto"/>
            <w:noWrap/>
            <w:hideMark/>
          </w:tcPr>
          <w:p w14:paraId="232A79A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F8A4FA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CC6BF89" w14:textId="77777777" w:rsidTr="00C10263">
        <w:trPr>
          <w:trHeight w:val="255"/>
          <w:jc w:val="center"/>
        </w:trPr>
        <w:tc>
          <w:tcPr>
            <w:tcW w:w="307" w:type="dxa"/>
            <w:shd w:val="clear" w:color="000000" w:fill="FFFFFF"/>
            <w:noWrap/>
            <w:hideMark/>
          </w:tcPr>
          <w:p w14:paraId="660263B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4B8A1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A1E37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1.7.3</w:t>
            </w:r>
          </w:p>
        </w:tc>
        <w:tc>
          <w:tcPr>
            <w:tcW w:w="3923" w:type="dxa"/>
            <w:gridSpan w:val="3"/>
            <w:shd w:val="clear" w:color="000000" w:fill="FFFFFF"/>
            <w:noWrap/>
            <w:hideMark/>
          </w:tcPr>
          <w:p w14:paraId="343C17D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Gastos de Ejecución.</w:t>
            </w:r>
          </w:p>
        </w:tc>
        <w:tc>
          <w:tcPr>
            <w:tcW w:w="1566" w:type="dxa"/>
            <w:shd w:val="clear" w:color="000000" w:fill="FFFFFF"/>
            <w:noWrap/>
            <w:hideMark/>
          </w:tcPr>
          <w:p w14:paraId="006BFDB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246,146</w:t>
            </w:r>
          </w:p>
        </w:tc>
        <w:tc>
          <w:tcPr>
            <w:tcW w:w="1492" w:type="dxa"/>
            <w:shd w:val="clear" w:color="auto" w:fill="auto"/>
            <w:noWrap/>
            <w:hideMark/>
          </w:tcPr>
          <w:p w14:paraId="49F0D7B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790E5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43D8AA2" w14:textId="77777777" w:rsidTr="00C10263">
        <w:trPr>
          <w:trHeight w:val="378"/>
          <w:jc w:val="center"/>
        </w:trPr>
        <w:tc>
          <w:tcPr>
            <w:tcW w:w="307" w:type="dxa"/>
            <w:shd w:val="clear" w:color="000000" w:fill="FFFFFF"/>
            <w:noWrap/>
            <w:hideMark/>
          </w:tcPr>
          <w:p w14:paraId="7FAEC7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F23C1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9C565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1.7.4</w:t>
            </w:r>
          </w:p>
        </w:tc>
        <w:tc>
          <w:tcPr>
            <w:tcW w:w="3923" w:type="dxa"/>
            <w:gridSpan w:val="3"/>
            <w:shd w:val="clear" w:color="000000" w:fill="FFFFFF"/>
            <w:noWrap/>
            <w:hideMark/>
          </w:tcPr>
          <w:p w14:paraId="34CF6A1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Indemnización por Devolución de Cheques.</w:t>
            </w:r>
          </w:p>
        </w:tc>
        <w:tc>
          <w:tcPr>
            <w:tcW w:w="1566" w:type="dxa"/>
            <w:shd w:val="clear" w:color="000000" w:fill="FFFFFF"/>
            <w:noWrap/>
            <w:hideMark/>
          </w:tcPr>
          <w:p w14:paraId="1426007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10ECEF1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C9BE8C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9395E9E" w14:textId="77777777" w:rsidTr="00C10263">
        <w:trPr>
          <w:trHeight w:val="255"/>
          <w:jc w:val="center"/>
        </w:trPr>
        <w:tc>
          <w:tcPr>
            <w:tcW w:w="307" w:type="dxa"/>
            <w:shd w:val="clear" w:color="000000" w:fill="FFFFFF"/>
            <w:noWrap/>
            <w:hideMark/>
          </w:tcPr>
          <w:p w14:paraId="37FC443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3D0CF6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1.8</w:t>
            </w:r>
          </w:p>
        </w:tc>
        <w:tc>
          <w:tcPr>
            <w:tcW w:w="4562" w:type="dxa"/>
            <w:gridSpan w:val="4"/>
            <w:shd w:val="clear" w:color="000000" w:fill="FFFFFF"/>
            <w:noWrap/>
            <w:hideMark/>
          </w:tcPr>
          <w:p w14:paraId="5CB0DCA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Impuestos:</w:t>
            </w:r>
          </w:p>
        </w:tc>
        <w:tc>
          <w:tcPr>
            <w:tcW w:w="1566" w:type="dxa"/>
            <w:shd w:val="clear" w:color="000000" w:fill="FFFFFF"/>
            <w:noWrap/>
            <w:hideMark/>
          </w:tcPr>
          <w:p w14:paraId="080E151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158,895,371</w:t>
            </w:r>
          </w:p>
        </w:tc>
        <w:tc>
          <w:tcPr>
            <w:tcW w:w="1492" w:type="dxa"/>
            <w:shd w:val="clear" w:color="auto" w:fill="auto"/>
            <w:noWrap/>
            <w:hideMark/>
          </w:tcPr>
          <w:p w14:paraId="1F4CCB9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02AE8F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6B88CB7" w14:textId="77777777" w:rsidTr="00C10263">
        <w:trPr>
          <w:trHeight w:val="572"/>
          <w:jc w:val="center"/>
        </w:trPr>
        <w:tc>
          <w:tcPr>
            <w:tcW w:w="307" w:type="dxa"/>
            <w:shd w:val="clear" w:color="000000" w:fill="FFFFFF"/>
            <w:noWrap/>
            <w:hideMark/>
          </w:tcPr>
          <w:p w14:paraId="58EFC7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1C101B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46AF69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1.8.1</w:t>
            </w:r>
          </w:p>
        </w:tc>
        <w:tc>
          <w:tcPr>
            <w:tcW w:w="3923" w:type="dxa"/>
            <w:gridSpan w:val="3"/>
            <w:shd w:val="clear" w:color="000000" w:fill="FFFFFF"/>
            <w:noWrap/>
            <w:hideMark/>
          </w:tcPr>
          <w:p w14:paraId="76839C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Sobre Loterías, Rifas, Sorteos, Concursos y Juegos Permitidos con Cruce de Apuestas.</w:t>
            </w:r>
          </w:p>
        </w:tc>
        <w:tc>
          <w:tcPr>
            <w:tcW w:w="1566" w:type="dxa"/>
            <w:shd w:val="clear" w:color="000000" w:fill="FFFFFF"/>
            <w:noWrap/>
            <w:hideMark/>
          </w:tcPr>
          <w:p w14:paraId="3219FB4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158,895,371</w:t>
            </w:r>
          </w:p>
        </w:tc>
        <w:tc>
          <w:tcPr>
            <w:tcW w:w="1492" w:type="dxa"/>
            <w:shd w:val="clear" w:color="auto" w:fill="auto"/>
            <w:noWrap/>
            <w:hideMark/>
          </w:tcPr>
          <w:p w14:paraId="29C9D13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E6B556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58B97C8" w14:textId="77777777" w:rsidTr="00C10263">
        <w:trPr>
          <w:trHeight w:val="849"/>
          <w:jc w:val="center"/>
        </w:trPr>
        <w:tc>
          <w:tcPr>
            <w:tcW w:w="307" w:type="dxa"/>
            <w:shd w:val="clear" w:color="000000" w:fill="FFFFFF"/>
            <w:noWrap/>
            <w:hideMark/>
          </w:tcPr>
          <w:p w14:paraId="60FB0DB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A49F90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1.9</w:t>
            </w:r>
          </w:p>
        </w:tc>
        <w:tc>
          <w:tcPr>
            <w:tcW w:w="4562" w:type="dxa"/>
            <w:gridSpan w:val="4"/>
            <w:shd w:val="clear" w:color="000000" w:fill="FFFFFF"/>
            <w:hideMark/>
          </w:tcPr>
          <w:p w14:paraId="22E3495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Impuestos no Comprendidos en la Ley de Ingresos Vigente, Causados en Ejercicios Fiscales Anteriores Pendientes de Liquidación o Pago.</w:t>
            </w:r>
          </w:p>
        </w:tc>
        <w:tc>
          <w:tcPr>
            <w:tcW w:w="1566" w:type="dxa"/>
            <w:shd w:val="clear" w:color="000000" w:fill="FFFFFF"/>
            <w:noWrap/>
            <w:hideMark/>
          </w:tcPr>
          <w:p w14:paraId="0480CF7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CA2F72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2F113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9445598" w14:textId="77777777" w:rsidTr="00C10263">
        <w:trPr>
          <w:trHeight w:val="255"/>
          <w:jc w:val="center"/>
        </w:trPr>
        <w:tc>
          <w:tcPr>
            <w:tcW w:w="307" w:type="dxa"/>
            <w:shd w:val="clear" w:color="000000" w:fill="FFFFFF"/>
            <w:noWrap/>
            <w:hideMark/>
          </w:tcPr>
          <w:p w14:paraId="774A8A6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01AD6F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594F3E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E5DF7E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25FD3E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7F55800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0E1CD64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0355E7F9"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11B0DE1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CE88C51" w14:textId="77777777" w:rsidTr="00C10263">
        <w:trPr>
          <w:trHeight w:val="255"/>
          <w:jc w:val="center"/>
        </w:trPr>
        <w:tc>
          <w:tcPr>
            <w:tcW w:w="307" w:type="dxa"/>
            <w:shd w:val="clear" w:color="000000" w:fill="FFFFFF"/>
            <w:noWrap/>
            <w:hideMark/>
          </w:tcPr>
          <w:p w14:paraId="5D948820"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2.</w:t>
            </w:r>
          </w:p>
        </w:tc>
        <w:tc>
          <w:tcPr>
            <w:tcW w:w="5062" w:type="dxa"/>
            <w:gridSpan w:val="5"/>
            <w:shd w:val="clear" w:color="000000" w:fill="FFFFFF"/>
            <w:noWrap/>
            <w:hideMark/>
          </w:tcPr>
          <w:p w14:paraId="263720A6"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Cuotas y Aportaciones de Seguridad Social:</w:t>
            </w:r>
          </w:p>
        </w:tc>
        <w:tc>
          <w:tcPr>
            <w:tcW w:w="1566" w:type="dxa"/>
            <w:shd w:val="clear" w:color="000000" w:fill="FFFFFF"/>
            <w:noWrap/>
            <w:hideMark/>
          </w:tcPr>
          <w:p w14:paraId="2BEC3E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2131DE52"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35,457,255,096</w:t>
            </w:r>
          </w:p>
        </w:tc>
        <w:tc>
          <w:tcPr>
            <w:tcW w:w="1492" w:type="dxa"/>
            <w:shd w:val="clear" w:color="000000" w:fill="FFFFFF"/>
            <w:noWrap/>
            <w:hideMark/>
          </w:tcPr>
          <w:p w14:paraId="112AAAD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588534A" w14:textId="77777777" w:rsidTr="00C10263">
        <w:trPr>
          <w:trHeight w:val="255"/>
          <w:jc w:val="center"/>
        </w:trPr>
        <w:tc>
          <w:tcPr>
            <w:tcW w:w="307" w:type="dxa"/>
            <w:shd w:val="clear" w:color="000000" w:fill="FFFFFF"/>
            <w:noWrap/>
            <w:hideMark/>
          </w:tcPr>
          <w:p w14:paraId="705BB838"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 </w:t>
            </w:r>
          </w:p>
        </w:tc>
        <w:tc>
          <w:tcPr>
            <w:tcW w:w="500" w:type="dxa"/>
            <w:shd w:val="clear" w:color="000000" w:fill="FFFFFF"/>
            <w:noWrap/>
            <w:hideMark/>
          </w:tcPr>
          <w:p w14:paraId="09B7306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2.1</w:t>
            </w:r>
          </w:p>
        </w:tc>
        <w:tc>
          <w:tcPr>
            <w:tcW w:w="4562" w:type="dxa"/>
            <w:gridSpan w:val="4"/>
            <w:shd w:val="clear" w:color="000000" w:fill="FFFFFF"/>
            <w:noWrap/>
            <w:hideMark/>
          </w:tcPr>
          <w:p w14:paraId="53C8ED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Aportaciones para Fondos de Vivienda.</w:t>
            </w:r>
          </w:p>
        </w:tc>
        <w:tc>
          <w:tcPr>
            <w:tcW w:w="1566" w:type="dxa"/>
            <w:shd w:val="clear" w:color="000000" w:fill="FFFFFF"/>
            <w:noWrap/>
            <w:hideMark/>
          </w:tcPr>
          <w:p w14:paraId="5E4E506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D6E736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14D176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BCAF130" w14:textId="77777777" w:rsidTr="00C10263">
        <w:trPr>
          <w:trHeight w:val="255"/>
          <w:jc w:val="center"/>
        </w:trPr>
        <w:tc>
          <w:tcPr>
            <w:tcW w:w="307" w:type="dxa"/>
            <w:shd w:val="clear" w:color="000000" w:fill="FFFFFF"/>
            <w:noWrap/>
            <w:hideMark/>
          </w:tcPr>
          <w:p w14:paraId="69F01B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B5D7F4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2.2</w:t>
            </w:r>
          </w:p>
        </w:tc>
        <w:tc>
          <w:tcPr>
            <w:tcW w:w="4562" w:type="dxa"/>
            <w:gridSpan w:val="4"/>
            <w:shd w:val="clear" w:color="000000" w:fill="FFFFFF"/>
            <w:noWrap/>
            <w:hideMark/>
          </w:tcPr>
          <w:p w14:paraId="0CE8DA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Cuotas para la Seguridad Social.</w:t>
            </w:r>
          </w:p>
        </w:tc>
        <w:tc>
          <w:tcPr>
            <w:tcW w:w="1566" w:type="dxa"/>
            <w:shd w:val="clear" w:color="000000" w:fill="FFFFFF"/>
            <w:noWrap/>
            <w:hideMark/>
          </w:tcPr>
          <w:p w14:paraId="5C15348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35,457,255,096</w:t>
            </w:r>
          </w:p>
        </w:tc>
        <w:tc>
          <w:tcPr>
            <w:tcW w:w="1492" w:type="dxa"/>
            <w:shd w:val="clear" w:color="auto" w:fill="auto"/>
            <w:noWrap/>
            <w:hideMark/>
          </w:tcPr>
          <w:p w14:paraId="348E038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72B1B8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CA7BB04" w14:textId="77777777" w:rsidTr="00C10263">
        <w:trPr>
          <w:trHeight w:val="255"/>
          <w:jc w:val="center"/>
        </w:trPr>
        <w:tc>
          <w:tcPr>
            <w:tcW w:w="307" w:type="dxa"/>
            <w:shd w:val="clear" w:color="000000" w:fill="FFFFFF"/>
            <w:noWrap/>
            <w:hideMark/>
          </w:tcPr>
          <w:p w14:paraId="1393A9A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2E08F7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2.3</w:t>
            </w:r>
          </w:p>
        </w:tc>
        <w:tc>
          <w:tcPr>
            <w:tcW w:w="4562" w:type="dxa"/>
            <w:gridSpan w:val="4"/>
            <w:shd w:val="clear" w:color="000000" w:fill="FFFFFF"/>
            <w:noWrap/>
            <w:hideMark/>
          </w:tcPr>
          <w:p w14:paraId="1BEC7E4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Cuotas de Ahorro para el Retiro.</w:t>
            </w:r>
          </w:p>
        </w:tc>
        <w:tc>
          <w:tcPr>
            <w:tcW w:w="1566" w:type="dxa"/>
            <w:shd w:val="clear" w:color="000000" w:fill="FFFFFF"/>
            <w:noWrap/>
            <w:hideMark/>
          </w:tcPr>
          <w:p w14:paraId="5AB45C0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43B5F4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4C2B50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3A98A31" w14:textId="77777777" w:rsidTr="00C10263">
        <w:trPr>
          <w:trHeight w:val="540"/>
          <w:jc w:val="center"/>
        </w:trPr>
        <w:tc>
          <w:tcPr>
            <w:tcW w:w="307" w:type="dxa"/>
            <w:shd w:val="clear" w:color="000000" w:fill="FFFFFF"/>
            <w:noWrap/>
            <w:hideMark/>
          </w:tcPr>
          <w:p w14:paraId="09BE4A6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438B22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2.4</w:t>
            </w:r>
          </w:p>
        </w:tc>
        <w:tc>
          <w:tcPr>
            <w:tcW w:w="4562" w:type="dxa"/>
            <w:gridSpan w:val="4"/>
            <w:shd w:val="clear" w:color="000000" w:fill="FFFFFF"/>
            <w:noWrap/>
            <w:hideMark/>
          </w:tcPr>
          <w:p w14:paraId="6E1825A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Otras Cuotas y Aportaciones para la Seguridad Social.</w:t>
            </w:r>
          </w:p>
        </w:tc>
        <w:tc>
          <w:tcPr>
            <w:tcW w:w="1566" w:type="dxa"/>
            <w:shd w:val="clear" w:color="000000" w:fill="FFFFFF"/>
            <w:noWrap/>
            <w:hideMark/>
          </w:tcPr>
          <w:p w14:paraId="2F68CE6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2C25C4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55B892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53D7AF6" w14:textId="77777777" w:rsidTr="00C10263">
        <w:trPr>
          <w:trHeight w:val="510"/>
          <w:jc w:val="center"/>
        </w:trPr>
        <w:tc>
          <w:tcPr>
            <w:tcW w:w="307" w:type="dxa"/>
            <w:shd w:val="clear" w:color="000000" w:fill="FFFFFF"/>
            <w:noWrap/>
            <w:hideMark/>
          </w:tcPr>
          <w:p w14:paraId="0A2738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DA75B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2.5</w:t>
            </w:r>
          </w:p>
        </w:tc>
        <w:tc>
          <w:tcPr>
            <w:tcW w:w="4562" w:type="dxa"/>
            <w:gridSpan w:val="4"/>
            <w:shd w:val="clear" w:color="000000" w:fill="FFFFFF"/>
            <w:noWrap/>
            <w:hideMark/>
          </w:tcPr>
          <w:p w14:paraId="386C52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Accesorios de Cuotas y Aportaciones de Seguridad Social.</w:t>
            </w:r>
          </w:p>
        </w:tc>
        <w:tc>
          <w:tcPr>
            <w:tcW w:w="1566" w:type="dxa"/>
            <w:shd w:val="clear" w:color="000000" w:fill="FFFFFF"/>
            <w:noWrap/>
            <w:hideMark/>
          </w:tcPr>
          <w:p w14:paraId="2EA7A3C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04381E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8DB6EF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2333F50" w14:textId="77777777" w:rsidTr="00C10263">
        <w:trPr>
          <w:trHeight w:val="255"/>
          <w:jc w:val="center"/>
        </w:trPr>
        <w:tc>
          <w:tcPr>
            <w:tcW w:w="307" w:type="dxa"/>
            <w:shd w:val="clear" w:color="000000" w:fill="FFFFFF"/>
            <w:noWrap/>
            <w:hideMark/>
          </w:tcPr>
          <w:p w14:paraId="62A2F8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12F844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6F152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2F4353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4DAAE82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30992A9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7F029C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223E5B99"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4D4CB11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4EAB48F" w14:textId="77777777" w:rsidTr="00C10263">
        <w:trPr>
          <w:trHeight w:val="255"/>
          <w:jc w:val="center"/>
        </w:trPr>
        <w:tc>
          <w:tcPr>
            <w:tcW w:w="307" w:type="dxa"/>
            <w:shd w:val="clear" w:color="000000" w:fill="FFFFFF"/>
            <w:noWrap/>
            <w:hideMark/>
          </w:tcPr>
          <w:p w14:paraId="5310A61F"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3.</w:t>
            </w:r>
          </w:p>
        </w:tc>
        <w:tc>
          <w:tcPr>
            <w:tcW w:w="5062" w:type="dxa"/>
            <w:gridSpan w:val="5"/>
            <w:shd w:val="clear" w:color="000000" w:fill="FFFFFF"/>
            <w:noWrap/>
            <w:hideMark/>
          </w:tcPr>
          <w:p w14:paraId="40C1C6BB"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Contribuciones de Mejoras:</w:t>
            </w:r>
          </w:p>
        </w:tc>
        <w:tc>
          <w:tcPr>
            <w:tcW w:w="1566" w:type="dxa"/>
            <w:shd w:val="clear" w:color="000000" w:fill="FFFFFF"/>
            <w:noWrap/>
            <w:hideMark/>
          </w:tcPr>
          <w:p w14:paraId="64F1DB1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2D6F9F95"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549,841,905</w:t>
            </w:r>
          </w:p>
        </w:tc>
        <w:tc>
          <w:tcPr>
            <w:tcW w:w="1492" w:type="dxa"/>
            <w:shd w:val="clear" w:color="000000" w:fill="FFFFFF"/>
            <w:noWrap/>
            <w:hideMark/>
          </w:tcPr>
          <w:p w14:paraId="2E49EBE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3678624" w14:textId="77777777" w:rsidTr="00C10263">
        <w:trPr>
          <w:trHeight w:val="255"/>
          <w:jc w:val="center"/>
        </w:trPr>
        <w:tc>
          <w:tcPr>
            <w:tcW w:w="307" w:type="dxa"/>
            <w:shd w:val="clear" w:color="000000" w:fill="FFFFFF"/>
            <w:noWrap/>
            <w:hideMark/>
          </w:tcPr>
          <w:p w14:paraId="1B1DB708"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 </w:t>
            </w:r>
          </w:p>
        </w:tc>
        <w:tc>
          <w:tcPr>
            <w:tcW w:w="500" w:type="dxa"/>
            <w:shd w:val="clear" w:color="000000" w:fill="FFFFFF"/>
            <w:noWrap/>
            <w:hideMark/>
          </w:tcPr>
          <w:p w14:paraId="5E0362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w:t>
            </w:r>
          </w:p>
        </w:tc>
        <w:tc>
          <w:tcPr>
            <w:tcW w:w="4562" w:type="dxa"/>
            <w:gridSpan w:val="4"/>
            <w:shd w:val="clear" w:color="000000" w:fill="FFFFFF"/>
            <w:noWrap/>
            <w:hideMark/>
          </w:tcPr>
          <w:p w14:paraId="42EC9C1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Contribuciones de Mejoras por Obras Públicas:</w:t>
            </w:r>
          </w:p>
        </w:tc>
        <w:tc>
          <w:tcPr>
            <w:tcW w:w="1566" w:type="dxa"/>
            <w:shd w:val="clear" w:color="000000" w:fill="FFFFFF"/>
            <w:noWrap/>
            <w:hideMark/>
          </w:tcPr>
          <w:p w14:paraId="0A2C64F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549,841,905</w:t>
            </w:r>
          </w:p>
        </w:tc>
        <w:tc>
          <w:tcPr>
            <w:tcW w:w="1492" w:type="dxa"/>
            <w:shd w:val="clear" w:color="auto" w:fill="auto"/>
            <w:noWrap/>
            <w:hideMark/>
          </w:tcPr>
          <w:p w14:paraId="642A05F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B338AF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BF9F691" w14:textId="77777777" w:rsidTr="00C10263">
        <w:trPr>
          <w:trHeight w:val="510"/>
          <w:jc w:val="center"/>
        </w:trPr>
        <w:tc>
          <w:tcPr>
            <w:tcW w:w="307" w:type="dxa"/>
            <w:shd w:val="clear" w:color="000000" w:fill="FFFFFF"/>
            <w:noWrap/>
            <w:hideMark/>
          </w:tcPr>
          <w:p w14:paraId="7591ED7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A4EE42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F92F5B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3.1.1</w:t>
            </w:r>
          </w:p>
        </w:tc>
        <w:tc>
          <w:tcPr>
            <w:tcW w:w="3923" w:type="dxa"/>
            <w:gridSpan w:val="3"/>
            <w:shd w:val="clear" w:color="000000" w:fill="FFFFFF"/>
            <w:noWrap/>
            <w:hideMark/>
          </w:tcPr>
          <w:p w14:paraId="03E8858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xml:space="preserve">Para Obra Pública y Acciones de Beneficio Social.  </w:t>
            </w:r>
          </w:p>
        </w:tc>
        <w:tc>
          <w:tcPr>
            <w:tcW w:w="1566" w:type="dxa"/>
            <w:shd w:val="clear" w:color="000000" w:fill="FFFFFF"/>
            <w:noWrap/>
            <w:hideMark/>
          </w:tcPr>
          <w:p w14:paraId="0A5874E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74,622,003</w:t>
            </w:r>
          </w:p>
        </w:tc>
        <w:tc>
          <w:tcPr>
            <w:tcW w:w="1492" w:type="dxa"/>
            <w:shd w:val="clear" w:color="auto" w:fill="auto"/>
            <w:noWrap/>
            <w:hideMark/>
          </w:tcPr>
          <w:p w14:paraId="7E896D0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92783D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4D2983F" w14:textId="77777777" w:rsidTr="00C10263">
        <w:trPr>
          <w:trHeight w:val="255"/>
          <w:jc w:val="center"/>
        </w:trPr>
        <w:tc>
          <w:tcPr>
            <w:tcW w:w="307" w:type="dxa"/>
            <w:shd w:val="clear" w:color="000000" w:fill="FFFFFF"/>
            <w:noWrap/>
            <w:hideMark/>
          </w:tcPr>
          <w:p w14:paraId="3F7517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A1A438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C9E742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3.1.2</w:t>
            </w:r>
          </w:p>
        </w:tc>
        <w:tc>
          <w:tcPr>
            <w:tcW w:w="3923" w:type="dxa"/>
            <w:gridSpan w:val="3"/>
            <w:shd w:val="clear" w:color="000000" w:fill="FFFFFF"/>
            <w:noWrap/>
            <w:hideMark/>
          </w:tcPr>
          <w:p w14:paraId="55DAE6A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Para Obras de Impacto Vial.</w:t>
            </w:r>
          </w:p>
        </w:tc>
        <w:tc>
          <w:tcPr>
            <w:tcW w:w="1566" w:type="dxa"/>
            <w:shd w:val="clear" w:color="000000" w:fill="FFFFFF"/>
            <w:noWrap/>
            <w:hideMark/>
          </w:tcPr>
          <w:p w14:paraId="49CEFFB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260,946,932</w:t>
            </w:r>
          </w:p>
        </w:tc>
        <w:tc>
          <w:tcPr>
            <w:tcW w:w="1492" w:type="dxa"/>
            <w:shd w:val="clear" w:color="auto" w:fill="auto"/>
            <w:noWrap/>
            <w:hideMark/>
          </w:tcPr>
          <w:p w14:paraId="2533E22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27886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712C5E7" w14:textId="77777777" w:rsidTr="00C10263">
        <w:trPr>
          <w:trHeight w:val="255"/>
          <w:jc w:val="center"/>
        </w:trPr>
        <w:tc>
          <w:tcPr>
            <w:tcW w:w="307" w:type="dxa"/>
            <w:shd w:val="clear" w:color="000000" w:fill="FFFFFF"/>
            <w:noWrap/>
            <w:hideMark/>
          </w:tcPr>
          <w:p w14:paraId="4E27921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F1C30B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7864E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3.1.3</w:t>
            </w:r>
          </w:p>
        </w:tc>
        <w:tc>
          <w:tcPr>
            <w:tcW w:w="3923" w:type="dxa"/>
            <w:gridSpan w:val="3"/>
            <w:shd w:val="clear" w:color="000000" w:fill="FFFFFF"/>
            <w:noWrap/>
            <w:hideMark/>
          </w:tcPr>
          <w:p w14:paraId="567E52C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Por Servicios Ambientales.</w:t>
            </w:r>
          </w:p>
        </w:tc>
        <w:tc>
          <w:tcPr>
            <w:tcW w:w="1566" w:type="dxa"/>
            <w:shd w:val="clear" w:color="000000" w:fill="FFFFFF"/>
            <w:noWrap/>
            <w:hideMark/>
          </w:tcPr>
          <w:p w14:paraId="473B553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115,220,385</w:t>
            </w:r>
          </w:p>
        </w:tc>
        <w:tc>
          <w:tcPr>
            <w:tcW w:w="1492" w:type="dxa"/>
            <w:shd w:val="clear" w:color="auto" w:fill="auto"/>
            <w:noWrap/>
            <w:hideMark/>
          </w:tcPr>
          <w:p w14:paraId="4A40270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A25CC1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68B2DC7" w14:textId="77777777" w:rsidTr="00C10263">
        <w:trPr>
          <w:trHeight w:val="255"/>
          <w:jc w:val="center"/>
        </w:trPr>
        <w:tc>
          <w:tcPr>
            <w:tcW w:w="307" w:type="dxa"/>
            <w:shd w:val="clear" w:color="000000" w:fill="FFFFFF"/>
            <w:noWrap/>
            <w:hideMark/>
          </w:tcPr>
          <w:p w14:paraId="663EEF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78856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47CBD6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3.1.4</w:t>
            </w:r>
          </w:p>
        </w:tc>
        <w:tc>
          <w:tcPr>
            <w:tcW w:w="3923" w:type="dxa"/>
            <w:gridSpan w:val="3"/>
            <w:shd w:val="clear" w:color="000000" w:fill="FFFFFF"/>
            <w:noWrap/>
            <w:hideMark/>
          </w:tcPr>
          <w:p w14:paraId="207A44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Movilidad Sustentable.</w:t>
            </w:r>
          </w:p>
        </w:tc>
        <w:tc>
          <w:tcPr>
            <w:tcW w:w="1566" w:type="dxa"/>
            <w:shd w:val="clear" w:color="000000" w:fill="FFFFFF"/>
            <w:noWrap/>
            <w:hideMark/>
          </w:tcPr>
          <w:p w14:paraId="0D9A0BF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80,310,947</w:t>
            </w:r>
          </w:p>
        </w:tc>
        <w:tc>
          <w:tcPr>
            <w:tcW w:w="1492" w:type="dxa"/>
            <w:shd w:val="clear" w:color="auto" w:fill="auto"/>
            <w:noWrap/>
            <w:hideMark/>
          </w:tcPr>
          <w:p w14:paraId="69C9069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00E101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50AA216" w14:textId="77777777" w:rsidTr="00C10263">
        <w:trPr>
          <w:trHeight w:val="540"/>
          <w:jc w:val="center"/>
        </w:trPr>
        <w:tc>
          <w:tcPr>
            <w:tcW w:w="307" w:type="dxa"/>
            <w:shd w:val="clear" w:color="000000" w:fill="FFFFFF"/>
            <w:noWrap/>
            <w:hideMark/>
          </w:tcPr>
          <w:p w14:paraId="7467D75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EBD6A0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399F37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3.1.5</w:t>
            </w:r>
          </w:p>
        </w:tc>
        <w:tc>
          <w:tcPr>
            <w:tcW w:w="3923" w:type="dxa"/>
            <w:gridSpan w:val="3"/>
            <w:shd w:val="clear" w:color="000000" w:fill="FFFFFF"/>
            <w:noWrap/>
            <w:hideMark/>
          </w:tcPr>
          <w:p w14:paraId="541D593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Accesorios de Contribuciones de Mejoras por Obras Públicas:</w:t>
            </w:r>
          </w:p>
        </w:tc>
        <w:tc>
          <w:tcPr>
            <w:tcW w:w="1566" w:type="dxa"/>
            <w:shd w:val="clear" w:color="000000" w:fill="FFFFFF"/>
            <w:noWrap/>
            <w:hideMark/>
          </w:tcPr>
          <w:p w14:paraId="04F590E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18,741,638</w:t>
            </w:r>
          </w:p>
        </w:tc>
        <w:tc>
          <w:tcPr>
            <w:tcW w:w="1492" w:type="dxa"/>
            <w:shd w:val="clear" w:color="auto" w:fill="auto"/>
            <w:noWrap/>
            <w:hideMark/>
          </w:tcPr>
          <w:p w14:paraId="5BC44DD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4EB619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FB43569" w14:textId="77777777" w:rsidTr="00C10263">
        <w:trPr>
          <w:trHeight w:val="255"/>
          <w:jc w:val="center"/>
        </w:trPr>
        <w:tc>
          <w:tcPr>
            <w:tcW w:w="307" w:type="dxa"/>
            <w:shd w:val="clear" w:color="000000" w:fill="FFFFFF"/>
            <w:noWrap/>
            <w:hideMark/>
          </w:tcPr>
          <w:p w14:paraId="23F8F87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161ACB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B2C22D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740EEE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3.1.5.1</w:t>
            </w:r>
          </w:p>
        </w:tc>
        <w:tc>
          <w:tcPr>
            <w:tcW w:w="3073" w:type="dxa"/>
            <w:gridSpan w:val="2"/>
            <w:shd w:val="clear" w:color="000000" w:fill="FFFFFF"/>
            <w:noWrap/>
            <w:hideMark/>
          </w:tcPr>
          <w:p w14:paraId="01196C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Multas.</w:t>
            </w:r>
          </w:p>
        </w:tc>
        <w:tc>
          <w:tcPr>
            <w:tcW w:w="1566" w:type="dxa"/>
            <w:shd w:val="clear" w:color="000000" w:fill="FFFFFF"/>
            <w:noWrap/>
            <w:hideMark/>
          </w:tcPr>
          <w:p w14:paraId="47619C5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316,503</w:t>
            </w:r>
          </w:p>
        </w:tc>
        <w:tc>
          <w:tcPr>
            <w:tcW w:w="1492" w:type="dxa"/>
            <w:shd w:val="clear" w:color="auto" w:fill="auto"/>
            <w:noWrap/>
            <w:hideMark/>
          </w:tcPr>
          <w:p w14:paraId="06B884E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FCFBDE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9BE7DBC" w14:textId="77777777" w:rsidTr="00C10263">
        <w:trPr>
          <w:trHeight w:val="255"/>
          <w:jc w:val="center"/>
        </w:trPr>
        <w:tc>
          <w:tcPr>
            <w:tcW w:w="307" w:type="dxa"/>
            <w:shd w:val="clear" w:color="000000" w:fill="FFFFFF"/>
            <w:noWrap/>
            <w:hideMark/>
          </w:tcPr>
          <w:p w14:paraId="0F71BA8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90D045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36D364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FC841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3.1.5.2</w:t>
            </w:r>
          </w:p>
        </w:tc>
        <w:tc>
          <w:tcPr>
            <w:tcW w:w="3073" w:type="dxa"/>
            <w:gridSpan w:val="2"/>
            <w:shd w:val="clear" w:color="000000" w:fill="FFFFFF"/>
            <w:noWrap/>
            <w:hideMark/>
          </w:tcPr>
          <w:p w14:paraId="308486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Recargos.</w:t>
            </w:r>
          </w:p>
        </w:tc>
        <w:tc>
          <w:tcPr>
            <w:tcW w:w="1566" w:type="dxa"/>
            <w:shd w:val="clear" w:color="000000" w:fill="FFFFFF"/>
            <w:noWrap/>
            <w:hideMark/>
          </w:tcPr>
          <w:p w14:paraId="671DBBD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17,406,627</w:t>
            </w:r>
          </w:p>
        </w:tc>
        <w:tc>
          <w:tcPr>
            <w:tcW w:w="1492" w:type="dxa"/>
            <w:shd w:val="clear" w:color="auto" w:fill="auto"/>
            <w:noWrap/>
            <w:hideMark/>
          </w:tcPr>
          <w:p w14:paraId="7ABC8C2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E59E54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34CE5B3" w14:textId="77777777" w:rsidTr="00C10263">
        <w:trPr>
          <w:trHeight w:val="255"/>
          <w:jc w:val="center"/>
        </w:trPr>
        <w:tc>
          <w:tcPr>
            <w:tcW w:w="307" w:type="dxa"/>
            <w:shd w:val="clear" w:color="000000" w:fill="FFFFFF"/>
            <w:noWrap/>
            <w:hideMark/>
          </w:tcPr>
          <w:p w14:paraId="2BEA691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ACD8D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AC825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B485ED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3.1.5.3</w:t>
            </w:r>
          </w:p>
        </w:tc>
        <w:tc>
          <w:tcPr>
            <w:tcW w:w="3073" w:type="dxa"/>
            <w:gridSpan w:val="2"/>
            <w:shd w:val="clear" w:color="000000" w:fill="FFFFFF"/>
            <w:noWrap/>
            <w:hideMark/>
          </w:tcPr>
          <w:p w14:paraId="726BFA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Gastos de Ejecución.</w:t>
            </w:r>
          </w:p>
        </w:tc>
        <w:tc>
          <w:tcPr>
            <w:tcW w:w="1566" w:type="dxa"/>
            <w:shd w:val="clear" w:color="000000" w:fill="FFFFFF"/>
            <w:noWrap/>
            <w:hideMark/>
          </w:tcPr>
          <w:p w14:paraId="337160F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1,018,508</w:t>
            </w:r>
          </w:p>
        </w:tc>
        <w:tc>
          <w:tcPr>
            <w:tcW w:w="1492" w:type="dxa"/>
            <w:shd w:val="clear" w:color="auto" w:fill="auto"/>
            <w:noWrap/>
            <w:hideMark/>
          </w:tcPr>
          <w:p w14:paraId="1FA2863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90441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E8570F1" w14:textId="77777777" w:rsidTr="00C10263">
        <w:trPr>
          <w:trHeight w:val="555"/>
          <w:jc w:val="center"/>
        </w:trPr>
        <w:tc>
          <w:tcPr>
            <w:tcW w:w="307" w:type="dxa"/>
            <w:shd w:val="clear" w:color="000000" w:fill="FFFFFF"/>
            <w:noWrap/>
            <w:hideMark/>
          </w:tcPr>
          <w:p w14:paraId="6814FE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872C73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651545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91E1CE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3.1.5.4</w:t>
            </w:r>
          </w:p>
        </w:tc>
        <w:tc>
          <w:tcPr>
            <w:tcW w:w="3073" w:type="dxa"/>
            <w:gridSpan w:val="2"/>
            <w:shd w:val="clear" w:color="000000" w:fill="FFFFFF"/>
            <w:noWrap/>
            <w:hideMark/>
          </w:tcPr>
          <w:p w14:paraId="434858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Indemnización por Devolución de Cheques.</w:t>
            </w:r>
          </w:p>
        </w:tc>
        <w:tc>
          <w:tcPr>
            <w:tcW w:w="1566" w:type="dxa"/>
            <w:shd w:val="clear" w:color="000000" w:fill="FFFFFF"/>
            <w:noWrap/>
            <w:hideMark/>
          </w:tcPr>
          <w:p w14:paraId="4985C29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B861BE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2EA387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8F40722" w14:textId="77777777" w:rsidTr="00C10263">
        <w:trPr>
          <w:trHeight w:val="716"/>
          <w:jc w:val="center"/>
        </w:trPr>
        <w:tc>
          <w:tcPr>
            <w:tcW w:w="307" w:type="dxa"/>
            <w:shd w:val="clear" w:color="000000" w:fill="FFFFFF"/>
            <w:noWrap/>
            <w:hideMark/>
          </w:tcPr>
          <w:p w14:paraId="604AB8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D93DB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3.9</w:t>
            </w:r>
          </w:p>
        </w:tc>
        <w:tc>
          <w:tcPr>
            <w:tcW w:w="4562" w:type="dxa"/>
            <w:gridSpan w:val="4"/>
            <w:shd w:val="clear" w:color="000000" w:fill="FFFFFF"/>
            <w:noWrap/>
            <w:hideMark/>
          </w:tcPr>
          <w:p w14:paraId="1C5BFD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Contribuciones de Mejoras no Comprendidas en la Ley de Ingresos Vigente, Causadas en Ejercicios Fiscales Anteriores Pendientes de Liquidación o Pago.</w:t>
            </w:r>
          </w:p>
        </w:tc>
        <w:tc>
          <w:tcPr>
            <w:tcW w:w="1566" w:type="dxa"/>
            <w:shd w:val="clear" w:color="000000" w:fill="FFFFFF"/>
            <w:noWrap/>
            <w:hideMark/>
          </w:tcPr>
          <w:p w14:paraId="101278A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FAC53A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112CAA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ED7EC61" w14:textId="77777777" w:rsidTr="00C10263">
        <w:trPr>
          <w:trHeight w:val="255"/>
          <w:jc w:val="center"/>
        </w:trPr>
        <w:tc>
          <w:tcPr>
            <w:tcW w:w="307" w:type="dxa"/>
            <w:shd w:val="clear" w:color="000000" w:fill="FFFFFF"/>
            <w:noWrap/>
            <w:hideMark/>
          </w:tcPr>
          <w:p w14:paraId="54C2873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5CACC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0183EE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D323A0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5AE7E5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0D4F94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40F8A36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1DA1ECC1"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68047A6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739E930" w14:textId="77777777" w:rsidTr="00C10263">
        <w:trPr>
          <w:trHeight w:val="255"/>
          <w:jc w:val="center"/>
        </w:trPr>
        <w:tc>
          <w:tcPr>
            <w:tcW w:w="307" w:type="dxa"/>
            <w:shd w:val="clear" w:color="000000" w:fill="FFFFFF"/>
            <w:noWrap/>
            <w:hideMark/>
          </w:tcPr>
          <w:p w14:paraId="0C93F280"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4.</w:t>
            </w:r>
          </w:p>
        </w:tc>
        <w:tc>
          <w:tcPr>
            <w:tcW w:w="5062" w:type="dxa"/>
            <w:gridSpan w:val="5"/>
            <w:shd w:val="clear" w:color="000000" w:fill="FFFFFF"/>
            <w:noWrap/>
            <w:hideMark/>
          </w:tcPr>
          <w:p w14:paraId="22CAC0E3"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Derechos:</w:t>
            </w:r>
          </w:p>
        </w:tc>
        <w:tc>
          <w:tcPr>
            <w:tcW w:w="1566" w:type="dxa"/>
            <w:shd w:val="clear" w:color="000000" w:fill="FFFFFF"/>
            <w:noWrap/>
            <w:hideMark/>
          </w:tcPr>
          <w:p w14:paraId="57569A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30770E59"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13,411,528,755</w:t>
            </w:r>
          </w:p>
        </w:tc>
        <w:tc>
          <w:tcPr>
            <w:tcW w:w="1492" w:type="dxa"/>
            <w:shd w:val="clear" w:color="000000" w:fill="FFFFFF"/>
            <w:noWrap/>
            <w:hideMark/>
          </w:tcPr>
          <w:p w14:paraId="626E29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530A36C" w14:textId="77777777" w:rsidTr="00C10263">
        <w:trPr>
          <w:trHeight w:val="585"/>
          <w:jc w:val="center"/>
        </w:trPr>
        <w:tc>
          <w:tcPr>
            <w:tcW w:w="307" w:type="dxa"/>
            <w:shd w:val="clear" w:color="000000" w:fill="FFFFFF"/>
            <w:noWrap/>
            <w:hideMark/>
          </w:tcPr>
          <w:p w14:paraId="43B3B54C"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 </w:t>
            </w:r>
          </w:p>
        </w:tc>
        <w:tc>
          <w:tcPr>
            <w:tcW w:w="500" w:type="dxa"/>
            <w:shd w:val="clear" w:color="000000" w:fill="FFFFFF"/>
            <w:noWrap/>
            <w:hideMark/>
          </w:tcPr>
          <w:p w14:paraId="603EFC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4.1</w:t>
            </w:r>
          </w:p>
        </w:tc>
        <w:tc>
          <w:tcPr>
            <w:tcW w:w="4562" w:type="dxa"/>
            <w:gridSpan w:val="4"/>
            <w:shd w:val="clear" w:color="000000" w:fill="FFFFFF"/>
            <w:noWrap/>
            <w:hideMark/>
          </w:tcPr>
          <w:p w14:paraId="6B7516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Derechos por el Uso, Goce, Aprovechamiento o Explotación de Bienes de Dominio Público.</w:t>
            </w:r>
          </w:p>
        </w:tc>
        <w:tc>
          <w:tcPr>
            <w:tcW w:w="1566" w:type="dxa"/>
            <w:shd w:val="clear" w:color="000000" w:fill="FFFFFF"/>
            <w:noWrap/>
            <w:hideMark/>
          </w:tcPr>
          <w:p w14:paraId="05E5229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426C277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A32AD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DA33471" w14:textId="77777777" w:rsidTr="00C10263">
        <w:trPr>
          <w:trHeight w:val="255"/>
          <w:jc w:val="center"/>
        </w:trPr>
        <w:tc>
          <w:tcPr>
            <w:tcW w:w="307" w:type="dxa"/>
            <w:shd w:val="clear" w:color="000000" w:fill="FFFFFF"/>
            <w:noWrap/>
            <w:hideMark/>
          </w:tcPr>
          <w:p w14:paraId="05FA1E4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76884E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w:t>
            </w:r>
          </w:p>
        </w:tc>
        <w:tc>
          <w:tcPr>
            <w:tcW w:w="4562" w:type="dxa"/>
            <w:gridSpan w:val="4"/>
            <w:shd w:val="clear" w:color="000000" w:fill="FFFFFF"/>
            <w:noWrap/>
            <w:hideMark/>
          </w:tcPr>
          <w:p w14:paraId="2FBF561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Derechos por Prestación de Servicios:</w:t>
            </w:r>
          </w:p>
        </w:tc>
        <w:tc>
          <w:tcPr>
            <w:tcW w:w="1566" w:type="dxa"/>
            <w:shd w:val="clear" w:color="000000" w:fill="FFFFFF"/>
            <w:noWrap/>
            <w:hideMark/>
          </w:tcPr>
          <w:p w14:paraId="5A57088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12,657,474,559</w:t>
            </w:r>
          </w:p>
        </w:tc>
        <w:tc>
          <w:tcPr>
            <w:tcW w:w="1492" w:type="dxa"/>
            <w:shd w:val="clear" w:color="auto" w:fill="auto"/>
            <w:noWrap/>
            <w:hideMark/>
          </w:tcPr>
          <w:p w14:paraId="57EED7C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0D95BC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59A347C" w14:textId="77777777" w:rsidTr="00C10263">
        <w:trPr>
          <w:trHeight w:val="255"/>
          <w:jc w:val="center"/>
        </w:trPr>
        <w:tc>
          <w:tcPr>
            <w:tcW w:w="307" w:type="dxa"/>
            <w:shd w:val="clear" w:color="000000" w:fill="FFFFFF"/>
            <w:noWrap/>
            <w:hideMark/>
          </w:tcPr>
          <w:p w14:paraId="691FA7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E6F4D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EEBE7A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4.3.1</w:t>
            </w:r>
          </w:p>
        </w:tc>
        <w:tc>
          <w:tcPr>
            <w:tcW w:w="3923" w:type="dxa"/>
            <w:gridSpan w:val="3"/>
            <w:shd w:val="clear" w:color="000000" w:fill="FFFFFF"/>
            <w:noWrap/>
            <w:hideMark/>
          </w:tcPr>
          <w:p w14:paraId="0B22DC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Seguridad.</w:t>
            </w:r>
          </w:p>
        </w:tc>
        <w:tc>
          <w:tcPr>
            <w:tcW w:w="1566" w:type="dxa"/>
            <w:shd w:val="clear" w:color="000000" w:fill="FFFFFF"/>
            <w:noWrap/>
            <w:hideMark/>
          </w:tcPr>
          <w:p w14:paraId="5369EEE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3,205,479</w:t>
            </w:r>
          </w:p>
        </w:tc>
        <w:tc>
          <w:tcPr>
            <w:tcW w:w="1492" w:type="dxa"/>
            <w:shd w:val="clear" w:color="auto" w:fill="auto"/>
            <w:noWrap/>
            <w:hideMark/>
          </w:tcPr>
          <w:p w14:paraId="21FFF77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3C4F28E"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B6641D9" w14:textId="77777777" w:rsidTr="00C10263">
        <w:trPr>
          <w:trHeight w:val="255"/>
          <w:jc w:val="center"/>
        </w:trPr>
        <w:tc>
          <w:tcPr>
            <w:tcW w:w="307" w:type="dxa"/>
            <w:shd w:val="clear" w:color="000000" w:fill="FFFFFF"/>
            <w:noWrap/>
            <w:hideMark/>
          </w:tcPr>
          <w:p w14:paraId="67DC5F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C478A6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F95B5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4.3.2</w:t>
            </w:r>
          </w:p>
        </w:tc>
        <w:tc>
          <w:tcPr>
            <w:tcW w:w="3923" w:type="dxa"/>
            <w:gridSpan w:val="3"/>
            <w:shd w:val="clear" w:color="000000" w:fill="FFFFFF"/>
            <w:noWrap/>
            <w:hideMark/>
          </w:tcPr>
          <w:p w14:paraId="1D69D41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General de Gobierno:</w:t>
            </w:r>
          </w:p>
        </w:tc>
        <w:tc>
          <w:tcPr>
            <w:tcW w:w="1566" w:type="dxa"/>
            <w:shd w:val="clear" w:color="000000" w:fill="FFFFFF"/>
            <w:noWrap/>
            <w:hideMark/>
          </w:tcPr>
          <w:p w14:paraId="7FFAA50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33,768,039</w:t>
            </w:r>
          </w:p>
        </w:tc>
        <w:tc>
          <w:tcPr>
            <w:tcW w:w="1492" w:type="dxa"/>
            <w:shd w:val="clear" w:color="auto" w:fill="auto"/>
            <w:noWrap/>
            <w:hideMark/>
          </w:tcPr>
          <w:p w14:paraId="4D994D7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D3CAA8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675705D" w14:textId="77777777" w:rsidTr="00C10263">
        <w:trPr>
          <w:trHeight w:val="570"/>
          <w:jc w:val="center"/>
        </w:trPr>
        <w:tc>
          <w:tcPr>
            <w:tcW w:w="307" w:type="dxa"/>
            <w:shd w:val="clear" w:color="000000" w:fill="FFFFFF"/>
            <w:noWrap/>
            <w:hideMark/>
          </w:tcPr>
          <w:p w14:paraId="4CF90F0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9C165D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B6DBA9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B9BC4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4.3.2.1</w:t>
            </w:r>
          </w:p>
        </w:tc>
        <w:tc>
          <w:tcPr>
            <w:tcW w:w="3073" w:type="dxa"/>
            <w:gridSpan w:val="2"/>
            <w:shd w:val="clear" w:color="000000" w:fill="FFFFFF"/>
            <w:noWrap/>
            <w:hideMark/>
          </w:tcPr>
          <w:p w14:paraId="41C1578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General de Gobierno.</w:t>
            </w:r>
          </w:p>
        </w:tc>
        <w:tc>
          <w:tcPr>
            <w:tcW w:w="1566" w:type="dxa"/>
            <w:shd w:val="clear" w:color="000000" w:fill="FFFFFF"/>
            <w:noWrap/>
            <w:hideMark/>
          </w:tcPr>
          <w:p w14:paraId="3147887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04B46C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2E7ECD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93D5572" w14:textId="77777777" w:rsidTr="00C10263">
        <w:trPr>
          <w:trHeight w:val="585"/>
          <w:jc w:val="center"/>
        </w:trPr>
        <w:tc>
          <w:tcPr>
            <w:tcW w:w="307" w:type="dxa"/>
            <w:shd w:val="clear" w:color="000000" w:fill="FFFFFF"/>
            <w:noWrap/>
            <w:hideMark/>
          </w:tcPr>
          <w:p w14:paraId="3264501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D625F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1F47C5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B5407D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4.3.2.2</w:t>
            </w:r>
          </w:p>
        </w:tc>
        <w:tc>
          <w:tcPr>
            <w:tcW w:w="3073" w:type="dxa"/>
            <w:gridSpan w:val="2"/>
            <w:shd w:val="clear" w:color="000000" w:fill="FFFFFF"/>
            <w:noWrap/>
            <w:hideMark/>
          </w:tcPr>
          <w:p w14:paraId="51BD162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Coordinación General de Protección Civil.</w:t>
            </w:r>
          </w:p>
        </w:tc>
        <w:tc>
          <w:tcPr>
            <w:tcW w:w="1566" w:type="dxa"/>
            <w:shd w:val="clear" w:color="000000" w:fill="FFFFFF"/>
            <w:noWrap/>
            <w:hideMark/>
          </w:tcPr>
          <w:p w14:paraId="5E078A3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33,768,039</w:t>
            </w:r>
          </w:p>
        </w:tc>
        <w:tc>
          <w:tcPr>
            <w:tcW w:w="1492" w:type="dxa"/>
            <w:shd w:val="clear" w:color="auto" w:fill="auto"/>
            <w:noWrap/>
            <w:hideMark/>
          </w:tcPr>
          <w:p w14:paraId="624F4F9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7ACBF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51B9BA0" w14:textId="77777777" w:rsidTr="00C10263">
        <w:trPr>
          <w:trHeight w:val="255"/>
          <w:jc w:val="center"/>
        </w:trPr>
        <w:tc>
          <w:tcPr>
            <w:tcW w:w="307" w:type="dxa"/>
            <w:shd w:val="clear" w:color="000000" w:fill="FFFFFF"/>
            <w:noWrap/>
            <w:hideMark/>
          </w:tcPr>
          <w:p w14:paraId="2103CC5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9C3A60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1C48A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4.3.3</w:t>
            </w:r>
          </w:p>
        </w:tc>
        <w:tc>
          <w:tcPr>
            <w:tcW w:w="3923" w:type="dxa"/>
            <w:gridSpan w:val="3"/>
            <w:shd w:val="clear" w:color="000000" w:fill="FFFFFF"/>
            <w:noWrap/>
            <w:hideMark/>
          </w:tcPr>
          <w:p w14:paraId="7C05CA5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Finanzas.</w:t>
            </w:r>
          </w:p>
        </w:tc>
        <w:tc>
          <w:tcPr>
            <w:tcW w:w="1566" w:type="dxa"/>
            <w:shd w:val="clear" w:color="000000" w:fill="FFFFFF"/>
            <w:noWrap/>
            <w:hideMark/>
          </w:tcPr>
          <w:p w14:paraId="052FBB9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5,420,701,661</w:t>
            </w:r>
          </w:p>
        </w:tc>
        <w:tc>
          <w:tcPr>
            <w:tcW w:w="1492" w:type="dxa"/>
            <w:shd w:val="clear" w:color="auto" w:fill="auto"/>
            <w:noWrap/>
            <w:hideMark/>
          </w:tcPr>
          <w:p w14:paraId="133BE62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BF806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A5C8122" w14:textId="77777777" w:rsidTr="00C10263">
        <w:trPr>
          <w:trHeight w:val="255"/>
          <w:jc w:val="center"/>
        </w:trPr>
        <w:tc>
          <w:tcPr>
            <w:tcW w:w="307" w:type="dxa"/>
            <w:shd w:val="clear" w:color="000000" w:fill="FFFFFF"/>
            <w:noWrap/>
            <w:hideMark/>
          </w:tcPr>
          <w:p w14:paraId="3F2E38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B2ACB0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3BAE0D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4.3.4</w:t>
            </w:r>
          </w:p>
        </w:tc>
        <w:tc>
          <w:tcPr>
            <w:tcW w:w="3923" w:type="dxa"/>
            <w:gridSpan w:val="3"/>
            <w:shd w:val="clear" w:color="000000" w:fill="FFFFFF"/>
            <w:noWrap/>
            <w:hideMark/>
          </w:tcPr>
          <w:p w14:paraId="1350A5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Educación:</w:t>
            </w:r>
          </w:p>
        </w:tc>
        <w:tc>
          <w:tcPr>
            <w:tcW w:w="1566" w:type="dxa"/>
            <w:shd w:val="clear" w:color="000000" w:fill="FFFFFF"/>
            <w:noWrap/>
            <w:hideMark/>
          </w:tcPr>
          <w:p w14:paraId="17E9C99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149,673,923</w:t>
            </w:r>
          </w:p>
        </w:tc>
        <w:tc>
          <w:tcPr>
            <w:tcW w:w="1492" w:type="dxa"/>
            <w:shd w:val="clear" w:color="auto" w:fill="auto"/>
            <w:noWrap/>
            <w:hideMark/>
          </w:tcPr>
          <w:p w14:paraId="7EE842A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F5210D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0CC33C1" w14:textId="77777777" w:rsidTr="00C10263">
        <w:trPr>
          <w:trHeight w:val="255"/>
          <w:jc w:val="center"/>
        </w:trPr>
        <w:tc>
          <w:tcPr>
            <w:tcW w:w="307" w:type="dxa"/>
            <w:shd w:val="clear" w:color="000000" w:fill="FFFFFF"/>
            <w:noWrap/>
            <w:hideMark/>
          </w:tcPr>
          <w:p w14:paraId="49D2F9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DC1334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7D9AF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351F064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4.3.4.1</w:t>
            </w:r>
          </w:p>
        </w:tc>
        <w:tc>
          <w:tcPr>
            <w:tcW w:w="3073" w:type="dxa"/>
            <w:gridSpan w:val="2"/>
            <w:shd w:val="clear" w:color="000000" w:fill="FFFFFF"/>
            <w:noWrap/>
            <w:hideMark/>
          </w:tcPr>
          <w:p w14:paraId="0241CF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Educación.</w:t>
            </w:r>
          </w:p>
        </w:tc>
        <w:tc>
          <w:tcPr>
            <w:tcW w:w="1566" w:type="dxa"/>
            <w:shd w:val="clear" w:color="000000" w:fill="FFFFFF"/>
            <w:noWrap/>
            <w:hideMark/>
          </w:tcPr>
          <w:p w14:paraId="31BBA00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85,073,923</w:t>
            </w:r>
          </w:p>
        </w:tc>
        <w:tc>
          <w:tcPr>
            <w:tcW w:w="1492" w:type="dxa"/>
            <w:shd w:val="clear" w:color="auto" w:fill="auto"/>
            <w:noWrap/>
            <w:hideMark/>
          </w:tcPr>
          <w:p w14:paraId="05F8316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D8CE22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BB3D848" w14:textId="77777777" w:rsidTr="00C10263">
        <w:trPr>
          <w:trHeight w:val="255"/>
          <w:jc w:val="center"/>
        </w:trPr>
        <w:tc>
          <w:tcPr>
            <w:tcW w:w="307" w:type="dxa"/>
            <w:shd w:val="clear" w:color="000000" w:fill="FFFFFF"/>
            <w:noWrap/>
            <w:hideMark/>
          </w:tcPr>
          <w:p w14:paraId="74EA413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9D3B29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9782BB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2310C6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4.3.4.2</w:t>
            </w:r>
          </w:p>
        </w:tc>
        <w:tc>
          <w:tcPr>
            <w:tcW w:w="3073" w:type="dxa"/>
            <w:gridSpan w:val="2"/>
            <w:shd w:val="clear" w:color="000000" w:fill="FFFFFF"/>
            <w:noWrap/>
            <w:hideMark/>
          </w:tcPr>
          <w:p w14:paraId="2EB5A2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los Servicios Educativos Integrados al Estado de México.</w:t>
            </w:r>
          </w:p>
        </w:tc>
        <w:tc>
          <w:tcPr>
            <w:tcW w:w="1566" w:type="dxa"/>
            <w:shd w:val="clear" w:color="000000" w:fill="FFFFFF"/>
            <w:noWrap/>
            <w:hideMark/>
          </w:tcPr>
          <w:p w14:paraId="0935AAC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64,600,000</w:t>
            </w:r>
          </w:p>
        </w:tc>
        <w:tc>
          <w:tcPr>
            <w:tcW w:w="1492" w:type="dxa"/>
            <w:shd w:val="clear" w:color="auto" w:fill="auto"/>
            <w:noWrap/>
            <w:hideMark/>
          </w:tcPr>
          <w:p w14:paraId="6AE5E23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02377B3"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0EC7400" w14:textId="77777777" w:rsidTr="00C10263">
        <w:trPr>
          <w:trHeight w:val="585"/>
          <w:jc w:val="center"/>
        </w:trPr>
        <w:tc>
          <w:tcPr>
            <w:tcW w:w="307" w:type="dxa"/>
            <w:shd w:val="clear" w:color="000000" w:fill="FFFFFF"/>
            <w:noWrap/>
            <w:hideMark/>
          </w:tcPr>
          <w:p w14:paraId="7D7D1C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3B076E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3CF08D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4.3.5</w:t>
            </w:r>
          </w:p>
        </w:tc>
        <w:tc>
          <w:tcPr>
            <w:tcW w:w="3923" w:type="dxa"/>
            <w:gridSpan w:val="3"/>
            <w:shd w:val="clear" w:color="000000" w:fill="FFFFFF"/>
            <w:noWrap/>
            <w:hideMark/>
          </w:tcPr>
          <w:p w14:paraId="1892D01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Desarrollo Urbano y Obra:</w:t>
            </w:r>
          </w:p>
        </w:tc>
        <w:tc>
          <w:tcPr>
            <w:tcW w:w="1566" w:type="dxa"/>
            <w:shd w:val="clear" w:color="000000" w:fill="FFFFFF"/>
            <w:noWrap/>
            <w:hideMark/>
          </w:tcPr>
          <w:p w14:paraId="5344B2E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1,997,564,663</w:t>
            </w:r>
          </w:p>
        </w:tc>
        <w:tc>
          <w:tcPr>
            <w:tcW w:w="1492" w:type="dxa"/>
            <w:shd w:val="clear" w:color="auto" w:fill="auto"/>
            <w:noWrap/>
            <w:hideMark/>
          </w:tcPr>
          <w:p w14:paraId="0D8F3D0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B240BF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4A137AD" w14:textId="77777777" w:rsidTr="00C10263">
        <w:trPr>
          <w:trHeight w:val="555"/>
          <w:jc w:val="center"/>
        </w:trPr>
        <w:tc>
          <w:tcPr>
            <w:tcW w:w="307" w:type="dxa"/>
            <w:shd w:val="clear" w:color="000000" w:fill="FFFFFF"/>
            <w:noWrap/>
            <w:hideMark/>
          </w:tcPr>
          <w:p w14:paraId="4A2AF95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6DAC7A8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CE5C4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5A65CB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4.3.5.1</w:t>
            </w:r>
          </w:p>
        </w:tc>
        <w:tc>
          <w:tcPr>
            <w:tcW w:w="3073" w:type="dxa"/>
            <w:gridSpan w:val="2"/>
            <w:shd w:val="clear" w:color="000000" w:fill="FFFFFF"/>
            <w:noWrap/>
            <w:hideMark/>
          </w:tcPr>
          <w:p w14:paraId="3A3F71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Desarrollo Urbano y Obra.</w:t>
            </w:r>
          </w:p>
        </w:tc>
        <w:tc>
          <w:tcPr>
            <w:tcW w:w="1566" w:type="dxa"/>
            <w:shd w:val="clear" w:color="000000" w:fill="FFFFFF"/>
            <w:noWrap/>
            <w:hideMark/>
          </w:tcPr>
          <w:p w14:paraId="2F03948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137,571,137</w:t>
            </w:r>
          </w:p>
        </w:tc>
        <w:tc>
          <w:tcPr>
            <w:tcW w:w="1492" w:type="dxa"/>
            <w:shd w:val="clear" w:color="auto" w:fill="auto"/>
            <w:noWrap/>
            <w:hideMark/>
          </w:tcPr>
          <w:p w14:paraId="3766C92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D40A90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AD592B2" w14:textId="77777777" w:rsidTr="00C10263">
        <w:trPr>
          <w:trHeight w:val="570"/>
          <w:jc w:val="center"/>
        </w:trPr>
        <w:tc>
          <w:tcPr>
            <w:tcW w:w="307" w:type="dxa"/>
            <w:shd w:val="clear" w:color="000000" w:fill="FFFFFF"/>
            <w:noWrap/>
            <w:hideMark/>
          </w:tcPr>
          <w:p w14:paraId="27E1C2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AE74D9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697DF3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B5A05A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4.3.5.2</w:t>
            </w:r>
          </w:p>
        </w:tc>
        <w:tc>
          <w:tcPr>
            <w:tcW w:w="3073" w:type="dxa"/>
            <w:gridSpan w:val="2"/>
            <w:shd w:val="clear" w:color="000000" w:fill="FFFFFF"/>
            <w:noWrap/>
            <w:hideMark/>
          </w:tcPr>
          <w:p w14:paraId="4797FA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Comisión del Agua del Estado de México.</w:t>
            </w:r>
          </w:p>
        </w:tc>
        <w:tc>
          <w:tcPr>
            <w:tcW w:w="1566" w:type="dxa"/>
            <w:shd w:val="clear" w:color="000000" w:fill="FFFFFF"/>
            <w:noWrap/>
            <w:hideMark/>
          </w:tcPr>
          <w:p w14:paraId="2C6B9C4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1,859,993,526</w:t>
            </w:r>
          </w:p>
        </w:tc>
        <w:tc>
          <w:tcPr>
            <w:tcW w:w="1492" w:type="dxa"/>
            <w:shd w:val="clear" w:color="auto" w:fill="auto"/>
            <w:noWrap/>
            <w:hideMark/>
          </w:tcPr>
          <w:p w14:paraId="3756D38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8FE321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BB66861" w14:textId="77777777" w:rsidTr="00C10263">
        <w:trPr>
          <w:trHeight w:val="255"/>
          <w:jc w:val="center"/>
        </w:trPr>
        <w:tc>
          <w:tcPr>
            <w:tcW w:w="307" w:type="dxa"/>
            <w:shd w:val="clear" w:color="000000" w:fill="FFFFFF"/>
            <w:noWrap/>
            <w:hideMark/>
          </w:tcPr>
          <w:p w14:paraId="1E69A2C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596D7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6C50C5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4.3.6</w:t>
            </w:r>
          </w:p>
        </w:tc>
        <w:tc>
          <w:tcPr>
            <w:tcW w:w="3923" w:type="dxa"/>
            <w:gridSpan w:val="3"/>
            <w:shd w:val="clear" w:color="000000" w:fill="FFFFFF"/>
            <w:noWrap/>
            <w:hideMark/>
          </w:tcPr>
          <w:p w14:paraId="2077B17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la Contraloría.</w:t>
            </w:r>
          </w:p>
        </w:tc>
        <w:tc>
          <w:tcPr>
            <w:tcW w:w="1566" w:type="dxa"/>
            <w:shd w:val="clear" w:color="000000" w:fill="FFFFFF"/>
            <w:noWrap/>
            <w:hideMark/>
          </w:tcPr>
          <w:p w14:paraId="2AE0C54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710,291</w:t>
            </w:r>
          </w:p>
        </w:tc>
        <w:tc>
          <w:tcPr>
            <w:tcW w:w="1492" w:type="dxa"/>
            <w:shd w:val="clear" w:color="auto" w:fill="auto"/>
            <w:noWrap/>
            <w:hideMark/>
          </w:tcPr>
          <w:p w14:paraId="0BFC14F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0BD5D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A95DBBA" w14:textId="77777777" w:rsidTr="00C10263">
        <w:trPr>
          <w:trHeight w:val="255"/>
          <w:jc w:val="center"/>
        </w:trPr>
        <w:tc>
          <w:tcPr>
            <w:tcW w:w="307" w:type="dxa"/>
            <w:shd w:val="clear" w:color="000000" w:fill="FFFFFF"/>
            <w:noWrap/>
            <w:hideMark/>
          </w:tcPr>
          <w:p w14:paraId="7FCF312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A9D457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E7EA4C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4.3.7</w:t>
            </w:r>
          </w:p>
        </w:tc>
        <w:tc>
          <w:tcPr>
            <w:tcW w:w="3923" w:type="dxa"/>
            <w:gridSpan w:val="3"/>
            <w:shd w:val="clear" w:color="000000" w:fill="FFFFFF"/>
            <w:noWrap/>
            <w:hideMark/>
          </w:tcPr>
          <w:p w14:paraId="2B84F34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Movilidad:</w:t>
            </w:r>
          </w:p>
        </w:tc>
        <w:tc>
          <w:tcPr>
            <w:tcW w:w="1566" w:type="dxa"/>
            <w:shd w:val="clear" w:color="000000" w:fill="FFFFFF"/>
            <w:noWrap/>
            <w:hideMark/>
          </w:tcPr>
          <w:p w14:paraId="267614C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1,191,139,990</w:t>
            </w:r>
          </w:p>
        </w:tc>
        <w:tc>
          <w:tcPr>
            <w:tcW w:w="1492" w:type="dxa"/>
            <w:shd w:val="clear" w:color="auto" w:fill="auto"/>
            <w:noWrap/>
            <w:hideMark/>
          </w:tcPr>
          <w:p w14:paraId="1B09022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3A4211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C35CF85" w14:textId="77777777" w:rsidTr="00C10263">
        <w:trPr>
          <w:trHeight w:val="315"/>
          <w:jc w:val="center"/>
        </w:trPr>
        <w:tc>
          <w:tcPr>
            <w:tcW w:w="307" w:type="dxa"/>
            <w:shd w:val="clear" w:color="000000" w:fill="FFFFFF"/>
            <w:noWrap/>
            <w:hideMark/>
          </w:tcPr>
          <w:p w14:paraId="321B31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8519C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DFC01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7CC106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4.3.7.1</w:t>
            </w:r>
          </w:p>
        </w:tc>
        <w:tc>
          <w:tcPr>
            <w:tcW w:w="3073" w:type="dxa"/>
            <w:gridSpan w:val="2"/>
            <w:shd w:val="clear" w:color="000000" w:fill="FFFFFF"/>
            <w:noWrap/>
            <w:hideMark/>
          </w:tcPr>
          <w:p w14:paraId="4A9E99F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Movilidad.</w:t>
            </w:r>
          </w:p>
        </w:tc>
        <w:tc>
          <w:tcPr>
            <w:tcW w:w="1566" w:type="dxa"/>
            <w:shd w:val="clear" w:color="000000" w:fill="FFFFFF"/>
            <w:noWrap/>
            <w:hideMark/>
          </w:tcPr>
          <w:p w14:paraId="41862C7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1,043,480,630</w:t>
            </w:r>
          </w:p>
        </w:tc>
        <w:tc>
          <w:tcPr>
            <w:tcW w:w="1492" w:type="dxa"/>
            <w:shd w:val="clear" w:color="auto" w:fill="auto"/>
            <w:noWrap/>
            <w:hideMark/>
          </w:tcPr>
          <w:p w14:paraId="5364BBD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A87863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B6BEA06" w14:textId="77777777" w:rsidTr="00C10263">
        <w:trPr>
          <w:trHeight w:val="555"/>
          <w:jc w:val="center"/>
        </w:trPr>
        <w:tc>
          <w:tcPr>
            <w:tcW w:w="307" w:type="dxa"/>
            <w:shd w:val="clear" w:color="000000" w:fill="FFFFFF"/>
            <w:noWrap/>
            <w:hideMark/>
          </w:tcPr>
          <w:p w14:paraId="5766D0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E54A9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0E617B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6287F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4.3.7.2</w:t>
            </w:r>
          </w:p>
        </w:tc>
        <w:tc>
          <w:tcPr>
            <w:tcW w:w="3073" w:type="dxa"/>
            <w:gridSpan w:val="2"/>
            <w:shd w:val="clear" w:color="000000" w:fill="FFFFFF"/>
            <w:noWrap/>
            <w:hideMark/>
          </w:tcPr>
          <w:p w14:paraId="5AB412A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Junta de Caminos del Estado de México.</w:t>
            </w:r>
          </w:p>
        </w:tc>
        <w:tc>
          <w:tcPr>
            <w:tcW w:w="1566" w:type="dxa"/>
            <w:shd w:val="clear" w:color="000000" w:fill="FFFFFF"/>
            <w:noWrap/>
            <w:hideMark/>
          </w:tcPr>
          <w:p w14:paraId="493C9D7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47,478,562</w:t>
            </w:r>
          </w:p>
        </w:tc>
        <w:tc>
          <w:tcPr>
            <w:tcW w:w="1492" w:type="dxa"/>
            <w:shd w:val="clear" w:color="auto" w:fill="auto"/>
            <w:noWrap/>
            <w:hideMark/>
          </w:tcPr>
          <w:p w14:paraId="357176F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CED6C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C0DF535" w14:textId="77777777" w:rsidTr="00C10263">
        <w:trPr>
          <w:trHeight w:val="848"/>
          <w:jc w:val="center"/>
        </w:trPr>
        <w:tc>
          <w:tcPr>
            <w:tcW w:w="307" w:type="dxa"/>
            <w:shd w:val="clear" w:color="000000" w:fill="FFFFFF"/>
            <w:noWrap/>
            <w:hideMark/>
          </w:tcPr>
          <w:p w14:paraId="15FDA3C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E7FBFB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5EB77F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5665BC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4.3.7.3</w:t>
            </w:r>
          </w:p>
        </w:tc>
        <w:tc>
          <w:tcPr>
            <w:tcW w:w="3073" w:type="dxa"/>
            <w:gridSpan w:val="2"/>
            <w:shd w:val="clear" w:color="000000" w:fill="FFFFFF"/>
            <w:noWrap/>
            <w:hideMark/>
          </w:tcPr>
          <w:p w14:paraId="72DBD6B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Del Sistema de Autopistas, Aeropuertos, Servicios Conexos y Auxiliares del Estado de México.</w:t>
            </w:r>
          </w:p>
        </w:tc>
        <w:tc>
          <w:tcPr>
            <w:tcW w:w="1566" w:type="dxa"/>
            <w:shd w:val="clear" w:color="000000" w:fill="FFFFFF"/>
            <w:noWrap/>
            <w:hideMark/>
          </w:tcPr>
          <w:p w14:paraId="76C8A98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100,180,798</w:t>
            </w:r>
          </w:p>
        </w:tc>
        <w:tc>
          <w:tcPr>
            <w:tcW w:w="1492" w:type="dxa"/>
            <w:shd w:val="clear" w:color="auto" w:fill="auto"/>
            <w:noWrap/>
            <w:hideMark/>
          </w:tcPr>
          <w:p w14:paraId="0B1BAC4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FAD07B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EC86C96" w14:textId="77777777" w:rsidTr="00C10263">
        <w:trPr>
          <w:trHeight w:val="255"/>
          <w:jc w:val="center"/>
        </w:trPr>
        <w:tc>
          <w:tcPr>
            <w:tcW w:w="307" w:type="dxa"/>
            <w:shd w:val="clear" w:color="000000" w:fill="FFFFFF"/>
            <w:noWrap/>
            <w:hideMark/>
          </w:tcPr>
          <w:p w14:paraId="6E84EA8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C2591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85D534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4.3.8</w:t>
            </w:r>
          </w:p>
        </w:tc>
        <w:tc>
          <w:tcPr>
            <w:tcW w:w="3923" w:type="dxa"/>
            <w:gridSpan w:val="3"/>
            <w:shd w:val="clear" w:color="000000" w:fill="FFFFFF"/>
            <w:noWrap/>
            <w:hideMark/>
          </w:tcPr>
          <w:p w14:paraId="3F50743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del Medio Ambiente.</w:t>
            </w:r>
          </w:p>
        </w:tc>
        <w:tc>
          <w:tcPr>
            <w:tcW w:w="1566" w:type="dxa"/>
            <w:shd w:val="clear" w:color="000000" w:fill="FFFFFF"/>
            <w:noWrap/>
            <w:hideMark/>
          </w:tcPr>
          <w:p w14:paraId="0C87C01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632,978,258</w:t>
            </w:r>
          </w:p>
        </w:tc>
        <w:tc>
          <w:tcPr>
            <w:tcW w:w="1492" w:type="dxa"/>
            <w:shd w:val="clear" w:color="auto" w:fill="auto"/>
            <w:noWrap/>
            <w:hideMark/>
          </w:tcPr>
          <w:p w14:paraId="4EE034B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A529F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C58D3AE" w14:textId="77777777" w:rsidTr="00C10263">
        <w:trPr>
          <w:trHeight w:val="255"/>
          <w:jc w:val="center"/>
        </w:trPr>
        <w:tc>
          <w:tcPr>
            <w:tcW w:w="307" w:type="dxa"/>
            <w:shd w:val="clear" w:color="000000" w:fill="FFFFFF"/>
            <w:noWrap/>
            <w:hideMark/>
          </w:tcPr>
          <w:p w14:paraId="09FA816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A43D84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7CD50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4.3.9</w:t>
            </w:r>
          </w:p>
        </w:tc>
        <w:tc>
          <w:tcPr>
            <w:tcW w:w="3923" w:type="dxa"/>
            <w:gridSpan w:val="3"/>
            <w:shd w:val="clear" w:color="000000" w:fill="FFFFFF"/>
            <w:noWrap/>
            <w:hideMark/>
          </w:tcPr>
          <w:p w14:paraId="2A911CE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Justicia y Derechos Humanos:</w:t>
            </w:r>
          </w:p>
        </w:tc>
        <w:tc>
          <w:tcPr>
            <w:tcW w:w="1566" w:type="dxa"/>
            <w:shd w:val="clear" w:color="000000" w:fill="FFFFFF"/>
            <w:noWrap/>
            <w:hideMark/>
          </w:tcPr>
          <w:p w14:paraId="1C0EECA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3,227,587,253</w:t>
            </w:r>
          </w:p>
        </w:tc>
        <w:tc>
          <w:tcPr>
            <w:tcW w:w="1492" w:type="dxa"/>
            <w:shd w:val="clear" w:color="auto" w:fill="auto"/>
            <w:noWrap/>
            <w:hideMark/>
          </w:tcPr>
          <w:p w14:paraId="0399FD5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597D1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C67C7F2" w14:textId="77777777" w:rsidTr="00C10263">
        <w:trPr>
          <w:trHeight w:val="555"/>
          <w:jc w:val="center"/>
        </w:trPr>
        <w:tc>
          <w:tcPr>
            <w:tcW w:w="307" w:type="dxa"/>
            <w:shd w:val="clear" w:color="000000" w:fill="FFFFFF"/>
            <w:noWrap/>
            <w:hideMark/>
          </w:tcPr>
          <w:p w14:paraId="26BDA01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3B453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7F6FC7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940B8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4.3.9.1</w:t>
            </w:r>
          </w:p>
        </w:tc>
        <w:tc>
          <w:tcPr>
            <w:tcW w:w="3073" w:type="dxa"/>
            <w:gridSpan w:val="2"/>
            <w:shd w:val="clear" w:color="000000" w:fill="FFFFFF"/>
            <w:noWrap/>
            <w:hideMark/>
          </w:tcPr>
          <w:p w14:paraId="72F2DAB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 Justicia y Derechos Humanos.</w:t>
            </w:r>
          </w:p>
        </w:tc>
        <w:tc>
          <w:tcPr>
            <w:tcW w:w="1566" w:type="dxa"/>
            <w:shd w:val="clear" w:color="000000" w:fill="FFFFFF"/>
            <w:noWrap/>
            <w:hideMark/>
          </w:tcPr>
          <w:p w14:paraId="69BDA4F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B6EE67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88BF5F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B777A65" w14:textId="77777777" w:rsidTr="00C10263">
        <w:trPr>
          <w:trHeight w:val="810"/>
          <w:jc w:val="center"/>
        </w:trPr>
        <w:tc>
          <w:tcPr>
            <w:tcW w:w="307" w:type="dxa"/>
            <w:shd w:val="clear" w:color="000000" w:fill="FFFFFF"/>
            <w:noWrap/>
            <w:hideMark/>
          </w:tcPr>
          <w:p w14:paraId="046E3FC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4912C8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066073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52FB07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4.3.9.2</w:t>
            </w:r>
          </w:p>
        </w:tc>
        <w:tc>
          <w:tcPr>
            <w:tcW w:w="3073" w:type="dxa"/>
            <w:gridSpan w:val="2"/>
            <w:shd w:val="clear" w:color="000000" w:fill="FFFFFF"/>
            <w:noWrap/>
            <w:hideMark/>
          </w:tcPr>
          <w:p w14:paraId="11914C6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Dirección General de Legalización y del Periódico Oficial "Gaceta del Gobierno".</w:t>
            </w:r>
          </w:p>
        </w:tc>
        <w:tc>
          <w:tcPr>
            <w:tcW w:w="1566" w:type="dxa"/>
            <w:shd w:val="clear" w:color="000000" w:fill="FFFFFF"/>
            <w:noWrap/>
            <w:hideMark/>
          </w:tcPr>
          <w:p w14:paraId="0E2DB5D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10,827,109</w:t>
            </w:r>
          </w:p>
        </w:tc>
        <w:tc>
          <w:tcPr>
            <w:tcW w:w="1492" w:type="dxa"/>
            <w:shd w:val="clear" w:color="auto" w:fill="auto"/>
            <w:noWrap/>
            <w:hideMark/>
          </w:tcPr>
          <w:p w14:paraId="0AA67E9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053D74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60AA031" w14:textId="77777777" w:rsidTr="00C10263">
        <w:trPr>
          <w:trHeight w:val="540"/>
          <w:jc w:val="center"/>
        </w:trPr>
        <w:tc>
          <w:tcPr>
            <w:tcW w:w="307" w:type="dxa"/>
            <w:shd w:val="clear" w:color="000000" w:fill="FFFFFF"/>
            <w:noWrap/>
            <w:hideMark/>
          </w:tcPr>
          <w:p w14:paraId="519F2AD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23C46A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D6EB9B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BD6E3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4.3.9.3</w:t>
            </w:r>
          </w:p>
        </w:tc>
        <w:tc>
          <w:tcPr>
            <w:tcW w:w="3073" w:type="dxa"/>
            <w:gridSpan w:val="2"/>
            <w:shd w:val="clear" w:color="000000" w:fill="FFFFFF"/>
            <w:noWrap/>
            <w:hideMark/>
          </w:tcPr>
          <w:p w14:paraId="5DEBB01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Dirección General del Registro Civil.</w:t>
            </w:r>
          </w:p>
        </w:tc>
        <w:tc>
          <w:tcPr>
            <w:tcW w:w="1566" w:type="dxa"/>
            <w:shd w:val="clear" w:color="000000" w:fill="FFFFFF"/>
            <w:noWrap/>
            <w:hideMark/>
          </w:tcPr>
          <w:p w14:paraId="35CF217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221,963,950</w:t>
            </w:r>
          </w:p>
        </w:tc>
        <w:tc>
          <w:tcPr>
            <w:tcW w:w="1492" w:type="dxa"/>
            <w:shd w:val="clear" w:color="auto" w:fill="auto"/>
            <w:noWrap/>
            <w:hideMark/>
          </w:tcPr>
          <w:p w14:paraId="6642EA0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0180F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009713A" w14:textId="77777777" w:rsidTr="00C10263">
        <w:trPr>
          <w:trHeight w:val="510"/>
          <w:jc w:val="center"/>
        </w:trPr>
        <w:tc>
          <w:tcPr>
            <w:tcW w:w="307" w:type="dxa"/>
            <w:shd w:val="clear" w:color="000000" w:fill="FFFFFF"/>
            <w:noWrap/>
            <w:hideMark/>
          </w:tcPr>
          <w:p w14:paraId="00B03AC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3CC19B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80291F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5A771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4.3.9.4</w:t>
            </w:r>
          </w:p>
        </w:tc>
        <w:tc>
          <w:tcPr>
            <w:tcW w:w="3073" w:type="dxa"/>
            <w:gridSpan w:val="2"/>
            <w:shd w:val="clear" w:color="000000" w:fill="FFFFFF"/>
            <w:noWrap/>
            <w:hideMark/>
          </w:tcPr>
          <w:p w14:paraId="23B8683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Del Instituto de la Función Registral del Estado de México.</w:t>
            </w:r>
          </w:p>
        </w:tc>
        <w:tc>
          <w:tcPr>
            <w:tcW w:w="1566" w:type="dxa"/>
            <w:shd w:val="clear" w:color="000000" w:fill="FFFFFF"/>
            <w:noWrap/>
            <w:hideMark/>
          </w:tcPr>
          <w:p w14:paraId="748340E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2,993,660,563</w:t>
            </w:r>
          </w:p>
        </w:tc>
        <w:tc>
          <w:tcPr>
            <w:tcW w:w="1492" w:type="dxa"/>
            <w:shd w:val="clear" w:color="auto" w:fill="auto"/>
            <w:noWrap/>
            <w:hideMark/>
          </w:tcPr>
          <w:p w14:paraId="6A5EA55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BFA65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3F75B76" w14:textId="77777777" w:rsidTr="00C10263">
        <w:trPr>
          <w:trHeight w:val="510"/>
          <w:jc w:val="center"/>
        </w:trPr>
        <w:tc>
          <w:tcPr>
            <w:tcW w:w="307" w:type="dxa"/>
            <w:shd w:val="clear" w:color="000000" w:fill="FFFFFF"/>
            <w:noWrap/>
            <w:hideMark/>
          </w:tcPr>
          <w:p w14:paraId="6549A92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5EAB9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8DDFAA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6E649C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4.3.9.5</w:t>
            </w:r>
          </w:p>
        </w:tc>
        <w:tc>
          <w:tcPr>
            <w:tcW w:w="3073" w:type="dxa"/>
            <w:gridSpan w:val="2"/>
            <w:shd w:val="clear" w:color="000000" w:fill="FFFFFF"/>
            <w:hideMark/>
          </w:tcPr>
          <w:p w14:paraId="2BA991C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Dirección General de Procedimientos y Asuntos Notariales.</w:t>
            </w:r>
          </w:p>
        </w:tc>
        <w:tc>
          <w:tcPr>
            <w:tcW w:w="1566" w:type="dxa"/>
            <w:shd w:val="clear" w:color="000000" w:fill="FFFFFF"/>
            <w:noWrap/>
            <w:hideMark/>
          </w:tcPr>
          <w:p w14:paraId="234AD03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1,135,631</w:t>
            </w:r>
          </w:p>
        </w:tc>
        <w:tc>
          <w:tcPr>
            <w:tcW w:w="1492" w:type="dxa"/>
            <w:shd w:val="clear" w:color="auto" w:fill="auto"/>
            <w:noWrap/>
            <w:hideMark/>
          </w:tcPr>
          <w:p w14:paraId="0821D18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46FE6D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9301867" w14:textId="77777777" w:rsidTr="00C10263">
        <w:trPr>
          <w:trHeight w:val="315"/>
          <w:jc w:val="center"/>
        </w:trPr>
        <w:tc>
          <w:tcPr>
            <w:tcW w:w="307" w:type="dxa"/>
            <w:shd w:val="clear" w:color="000000" w:fill="FFFFFF"/>
            <w:noWrap/>
            <w:hideMark/>
          </w:tcPr>
          <w:p w14:paraId="637C8EC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C7EBB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4F811F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4.3.10</w:t>
            </w:r>
          </w:p>
        </w:tc>
        <w:tc>
          <w:tcPr>
            <w:tcW w:w="3923" w:type="dxa"/>
            <w:gridSpan w:val="3"/>
            <w:shd w:val="clear" w:color="000000" w:fill="FFFFFF"/>
            <w:noWrap/>
            <w:hideMark/>
          </w:tcPr>
          <w:p w14:paraId="1BD7520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 la Secretaría del Trabajo.</w:t>
            </w:r>
          </w:p>
        </w:tc>
        <w:tc>
          <w:tcPr>
            <w:tcW w:w="1566" w:type="dxa"/>
            <w:shd w:val="clear" w:color="000000" w:fill="FFFFFF"/>
            <w:noWrap/>
            <w:hideMark/>
          </w:tcPr>
          <w:p w14:paraId="2E71DF8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145,002</w:t>
            </w:r>
          </w:p>
        </w:tc>
        <w:tc>
          <w:tcPr>
            <w:tcW w:w="1492" w:type="dxa"/>
            <w:shd w:val="clear" w:color="auto" w:fill="auto"/>
            <w:noWrap/>
            <w:hideMark/>
          </w:tcPr>
          <w:p w14:paraId="619A39B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4A496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65D6D12" w14:textId="77777777" w:rsidTr="00C10263">
        <w:trPr>
          <w:trHeight w:val="255"/>
          <w:jc w:val="center"/>
        </w:trPr>
        <w:tc>
          <w:tcPr>
            <w:tcW w:w="307" w:type="dxa"/>
            <w:shd w:val="clear" w:color="000000" w:fill="FFFFFF"/>
            <w:noWrap/>
            <w:hideMark/>
          </w:tcPr>
          <w:p w14:paraId="752513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A65B35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4.4</w:t>
            </w:r>
          </w:p>
        </w:tc>
        <w:tc>
          <w:tcPr>
            <w:tcW w:w="4562" w:type="dxa"/>
            <w:gridSpan w:val="4"/>
            <w:shd w:val="clear" w:color="000000" w:fill="FFFFFF"/>
            <w:noWrap/>
            <w:hideMark/>
          </w:tcPr>
          <w:p w14:paraId="1A9E5D3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xml:space="preserve">Otros Derechos. </w:t>
            </w:r>
          </w:p>
        </w:tc>
        <w:tc>
          <w:tcPr>
            <w:tcW w:w="1566" w:type="dxa"/>
            <w:shd w:val="clear" w:color="000000" w:fill="FFFFFF"/>
            <w:noWrap/>
            <w:hideMark/>
          </w:tcPr>
          <w:p w14:paraId="486BA2F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4577AE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B11D67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D8917C6" w14:textId="77777777" w:rsidTr="00C10263">
        <w:trPr>
          <w:trHeight w:val="255"/>
          <w:jc w:val="center"/>
        </w:trPr>
        <w:tc>
          <w:tcPr>
            <w:tcW w:w="307" w:type="dxa"/>
            <w:shd w:val="clear" w:color="000000" w:fill="FFFFFF"/>
            <w:noWrap/>
            <w:hideMark/>
          </w:tcPr>
          <w:p w14:paraId="092E1D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9237A0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4.5</w:t>
            </w:r>
          </w:p>
        </w:tc>
        <w:tc>
          <w:tcPr>
            <w:tcW w:w="4562" w:type="dxa"/>
            <w:gridSpan w:val="4"/>
            <w:shd w:val="clear" w:color="000000" w:fill="FFFFFF"/>
            <w:noWrap/>
            <w:hideMark/>
          </w:tcPr>
          <w:p w14:paraId="710C6CF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Accesorios de Derechos:</w:t>
            </w:r>
          </w:p>
        </w:tc>
        <w:tc>
          <w:tcPr>
            <w:tcW w:w="1566" w:type="dxa"/>
            <w:shd w:val="clear" w:color="000000" w:fill="FFFFFF"/>
            <w:noWrap/>
            <w:hideMark/>
          </w:tcPr>
          <w:p w14:paraId="04BC986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754,054,196</w:t>
            </w:r>
          </w:p>
        </w:tc>
        <w:tc>
          <w:tcPr>
            <w:tcW w:w="1492" w:type="dxa"/>
            <w:shd w:val="clear" w:color="auto" w:fill="auto"/>
            <w:noWrap/>
            <w:hideMark/>
          </w:tcPr>
          <w:p w14:paraId="522F26B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5EE2E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7C4A27C" w14:textId="77777777" w:rsidTr="00C10263">
        <w:trPr>
          <w:trHeight w:val="255"/>
          <w:jc w:val="center"/>
        </w:trPr>
        <w:tc>
          <w:tcPr>
            <w:tcW w:w="307" w:type="dxa"/>
            <w:shd w:val="clear" w:color="000000" w:fill="FFFFFF"/>
            <w:noWrap/>
            <w:hideMark/>
          </w:tcPr>
          <w:p w14:paraId="1F61DD0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868FDB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ED9CA0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4.5.1</w:t>
            </w:r>
          </w:p>
        </w:tc>
        <w:tc>
          <w:tcPr>
            <w:tcW w:w="3923" w:type="dxa"/>
            <w:gridSpan w:val="3"/>
            <w:shd w:val="clear" w:color="000000" w:fill="FFFFFF"/>
            <w:noWrap/>
            <w:hideMark/>
          </w:tcPr>
          <w:p w14:paraId="4427DD4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Multas.</w:t>
            </w:r>
          </w:p>
        </w:tc>
        <w:tc>
          <w:tcPr>
            <w:tcW w:w="1566" w:type="dxa"/>
            <w:shd w:val="clear" w:color="000000" w:fill="FFFFFF"/>
            <w:noWrap/>
            <w:hideMark/>
          </w:tcPr>
          <w:p w14:paraId="4862021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684,253,253</w:t>
            </w:r>
          </w:p>
        </w:tc>
        <w:tc>
          <w:tcPr>
            <w:tcW w:w="1492" w:type="dxa"/>
            <w:shd w:val="clear" w:color="auto" w:fill="auto"/>
            <w:noWrap/>
            <w:hideMark/>
          </w:tcPr>
          <w:p w14:paraId="72F6A60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B4D83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86850FF" w14:textId="77777777" w:rsidTr="00C10263">
        <w:trPr>
          <w:trHeight w:val="255"/>
          <w:jc w:val="center"/>
        </w:trPr>
        <w:tc>
          <w:tcPr>
            <w:tcW w:w="307" w:type="dxa"/>
            <w:shd w:val="clear" w:color="000000" w:fill="FFFFFF"/>
            <w:noWrap/>
            <w:hideMark/>
          </w:tcPr>
          <w:p w14:paraId="7D9A56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4F066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5A6D29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4.5.2</w:t>
            </w:r>
          </w:p>
        </w:tc>
        <w:tc>
          <w:tcPr>
            <w:tcW w:w="3923" w:type="dxa"/>
            <w:gridSpan w:val="3"/>
            <w:shd w:val="clear" w:color="000000" w:fill="FFFFFF"/>
            <w:noWrap/>
            <w:hideMark/>
          </w:tcPr>
          <w:p w14:paraId="5BE9244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Recargos.</w:t>
            </w:r>
          </w:p>
        </w:tc>
        <w:tc>
          <w:tcPr>
            <w:tcW w:w="1566" w:type="dxa"/>
            <w:shd w:val="clear" w:color="000000" w:fill="FFFFFF"/>
            <w:noWrap/>
            <w:hideMark/>
          </w:tcPr>
          <w:p w14:paraId="1A21673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69,746,716</w:t>
            </w:r>
          </w:p>
        </w:tc>
        <w:tc>
          <w:tcPr>
            <w:tcW w:w="1492" w:type="dxa"/>
            <w:shd w:val="clear" w:color="auto" w:fill="auto"/>
            <w:noWrap/>
            <w:hideMark/>
          </w:tcPr>
          <w:p w14:paraId="0E81CEB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4E460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7CE7C31" w14:textId="77777777" w:rsidTr="00C10263">
        <w:trPr>
          <w:trHeight w:val="255"/>
          <w:jc w:val="center"/>
        </w:trPr>
        <w:tc>
          <w:tcPr>
            <w:tcW w:w="307" w:type="dxa"/>
            <w:shd w:val="clear" w:color="000000" w:fill="FFFFFF"/>
            <w:noWrap/>
            <w:hideMark/>
          </w:tcPr>
          <w:p w14:paraId="04F8371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166D2F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0B709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4.5.3</w:t>
            </w:r>
          </w:p>
        </w:tc>
        <w:tc>
          <w:tcPr>
            <w:tcW w:w="3923" w:type="dxa"/>
            <w:gridSpan w:val="3"/>
            <w:shd w:val="clear" w:color="000000" w:fill="FFFFFF"/>
            <w:noWrap/>
            <w:hideMark/>
          </w:tcPr>
          <w:p w14:paraId="28F9CB3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Gastos de Ejecución.</w:t>
            </w:r>
          </w:p>
        </w:tc>
        <w:tc>
          <w:tcPr>
            <w:tcW w:w="1566" w:type="dxa"/>
            <w:shd w:val="clear" w:color="000000" w:fill="FFFFFF"/>
            <w:noWrap/>
            <w:hideMark/>
          </w:tcPr>
          <w:p w14:paraId="11F5F9B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54,227</w:t>
            </w:r>
          </w:p>
        </w:tc>
        <w:tc>
          <w:tcPr>
            <w:tcW w:w="1492" w:type="dxa"/>
            <w:shd w:val="clear" w:color="auto" w:fill="auto"/>
            <w:noWrap/>
            <w:hideMark/>
          </w:tcPr>
          <w:p w14:paraId="247A8BB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C4E02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EDDDB8D" w14:textId="77777777" w:rsidTr="00C10263">
        <w:trPr>
          <w:trHeight w:val="255"/>
          <w:jc w:val="center"/>
        </w:trPr>
        <w:tc>
          <w:tcPr>
            <w:tcW w:w="307" w:type="dxa"/>
            <w:shd w:val="clear" w:color="000000" w:fill="FFFFFF"/>
            <w:noWrap/>
            <w:hideMark/>
          </w:tcPr>
          <w:p w14:paraId="377F381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697D7D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A3F6AB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4.5.4</w:t>
            </w:r>
          </w:p>
        </w:tc>
        <w:tc>
          <w:tcPr>
            <w:tcW w:w="3923" w:type="dxa"/>
            <w:gridSpan w:val="3"/>
            <w:shd w:val="clear" w:color="000000" w:fill="FFFFFF"/>
            <w:noWrap/>
            <w:hideMark/>
          </w:tcPr>
          <w:p w14:paraId="5DEE60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Indemnización por Devolución de Cheques.</w:t>
            </w:r>
          </w:p>
        </w:tc>
        <w:tc>
          <w:tcPr>
            <w:tcW w:w="1566" w:type="dxa"/>
            <w:shd w:val="clear" w:color="000000" w:fill="FFFFFF"/>
            <w:noWrap/>
            <w:hideMark/>
          </w:tcPr>
          <w:p w14:paraId="1D045C4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4B551EC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B89C1D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67FE5D9" w14:textId="77777777" w:rsidTr="00C10263">
        <w:trPr>
          <w:trHeight w:val="855"/>
          <w:jc w:val="center"/>
        </w:trPr>
        <w:tc>
          <w:tcPr>
            <w:tcW w:w="307" w:type="dxa"/>
            <w:shd w:val="clear" w:color="000000" w:fill="FFFFFF"/>
            <w:noWrap/>
            <w:hideMark/>
          </w:tcPr>
          <w:p w14:paraId="703C7B8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B5BB2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4.9</w:t>
            </w:r>
          </w:p>
        </w:tc>
        <w:tc>
          <w:tcPr>
            <w:tcW w:w="4562" w:type="dxa"/>
            <w:gridSpan w:val="4"/>
            <w:shd w:val="clear" w:color="000000" w:fill="FFFFFF"/>
            <w:noWrap/>
            <w:hideMark/>
          </w:tcPr>
          <w:p w14:paraId="67DE84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Derechos no Comprendidos en la Ley de Ingresos Vigente, Causados en Ejercicios Fiscales Anteriores Pendientes de Liquidación o Pago.</w:t>
            </w:r>
          </w:p>
        </w:tc>
        <w:tc>
          <w:tcPr>
            <w:tcW w:w="1566" w:type="dxa"/>
            <w:shd w:val="clear" w:color="000000" w:fill="FFFFFF"/>
            <w:noWrap/>
            <w:hideMark/>
          </w:tcPr>
          <w:p w14:paraId="5E93A69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16A402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42CD1F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11831E2" w14:textId="77777777" w:rsidTr="00C10263">
        <w:trPr>
          <w:trHeight w:val="255"/>
          <w:jc w:val="center"/>
        </w:trPr>
        <w:tc>
          <w:tcPr>
            <w:tcW w:w="307" w:type="dxa"/>
            <w:shd w:val="clear" w:color="000000" w:fill="FFFFFF"/>
            <w:noWrap/>
            <w:hideMark/>
          </w:tcPr>
          <w:p w14:paraId="73A165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1C4F3B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BC64A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11E881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5B57420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3D8BF8E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3DD990C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5E935B8F"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562C6B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4457439" w14:textId="77777777" w:rsidTr="00C10263">
        <w:trPr>
          <w:trHeight w:val="255"/>
          <w:jc w:val="center"/>
        </w:trPr>
        <w:tc>
          <w:tcPr>
            <w:tcW w:w="307" w:type="dxa"/>
            <w:shd w:val="clear" w:color="000000" w:fill="FFFFFF"/>
            <w:noWrap/>
            <w:hideMark/>
          </w:tcPr>
          <w:p w14:paraId="183E55BD"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5.</w:t>
            </w:r>
          </w:p>
        </w:tc>
        <w:tc>
          <w:tcPr>
            <w:tcW w:w="5062" w:type="dxa"/>
            <w:gridSpan w:val="5"/>
            <w:shd w:val="clear" w:color="000000" w:fill="FFFFFF"/>
            <w:noWrap/>
            <w:hideMark/>
          </w:tcPr>
          <w:p w14:paraId="2A6BF4B3"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Productos:</w:t>
            </w:r>
          </w:p>
        </w:tc>
        <w:tc>
          <w:tcPr>
            <w:tcW w:w="1566" w:type="dxa"/>
            <w:shd w:val="clear" w:color="000000" w:fill="FFFFFF"/>
            <w:noWrap/>
            <w:hideMark/>
          </w:tcPr>
          <w:p w14:paraId="0A974F7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69D0F8B6"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412,076,894</w:t>
            </w:r>
          </w:p>
        </w:tc>
        <w:tc>
          <w:tcPr>
            <w:tcW w:w="1492" w:type="dxa"/>
            <w:shd w:val="clear" w:color="000000" w:fill="FFFFFF"/>
            <w:noWrap/>
            <w:hideMark/>
          </w:tcPr>
          <w:p w14:paraId="10E24A3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C9817BE" w14:textId="77777777" w:rsidTr="00C10263">
        <w:trPr>
          <w:trHeight w:val="255"/>
          <w:jc w:val="center"/>
        </w:trPr>
        <w:tc>
          <w:tcPr>
            <w:tcW w:w="307" w:type="dxa"/>
            <w:shd w:val="clear" w:color="000000" w:fill="FFFFFF"/>
            <w:noWrap/>
            <w:hideMark/>
          </w:tcPr>
          <w:p w14:paraId="078885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B7839B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5.1</w:t>
            </w:r>
          </w:p>
        </w:tc>
        <w:tc>
          <w:tcPr>
            <w:tcW w:w="4562" w:type="dxa"/>
            <w:gridSpan w:val="4"/>
            <w:shd w:val="clear" w:color="000000" w:fill="FFFFFF"/>
            <w:noWrap/>
            <w:hideMark/>
          </w:tcPr>
          <w:p w14:paraId="6E4A93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Productos:</w:t>
            </w:r>
          </w:p>
        </w:tc>
        <w:tc>
          <w:tcPr>
            <w:tcW w:w="1566" w:type="dxa"/>
            <w:shd w:val="clear" w:color="000000" w:fill="FFFFFF"/>
            <w:noWrap/>
            <w:hideMark/>
          </w:tcPr>
          <w:p w14:paraId="3DFCBE3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412,076,894</w:t>
            </w:r>
          </w:p>
        </w:tc>
        <w:tc>
          <w:tcPr>
            <w:tcW w:w="1492" w:type="dxa"/>
            <w:shd w:val="clear" w:color="auto" w:fill="auto"/>
            <w:noWrap/>
            <w:hideMark/>
          </w:tcPr>
          <w:p w14:paraId="241A763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636BA5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647CDF5" w14:textId="77777777" w:rsidTr="00C10263">
        <w:trPr>
          <w:trHeight w:val="255"/>
          <w:jc w:val="center"/>
        </w:trPr>
        <w:tc>
          <w:tcPr>
            <w:tcW w:w="307" w:type="dxa"/>
            <w:shd w:val="clear" w:color="000000" w:fill="FFFFFF"/>
            <w:noWrap/>
            <w:hideMark/>
          </w:tcPr>
          <w:p w14:paraId="11D38FF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C46DC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5882E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5.1.1</w:t>
            </w:r>
          </w:p>
        </w:tc>
        <w:tc>
          <w:tcPr>
            <w:tcW w:w="3923" w:type="dxa"/>
            <w:gridSpan w:val="3"/>
            <w:shd w:val="clear" w:color="000000" w:fill="FFFFFF"/>
            <w:noWrap/>
            <w:hideMark/>
          </w:tcPr>
          <w:p w14:paraId="145A482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Financieros:</w:t>
            </w:r>
          </w:p>
        </w:tc>
        <w:tc>
          <w:tcPr>
            <w:tcW w:w="1566" w:type="dxa"/>
            <w:shd w:val="clear" w:color="000000" w:fill="FFFFFF"/>
            <w:noWrap/>
            <w:hideMark/>
          </w:tcPr>
          <w:p w14:paraId="668F3EA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398,463,020</w:t>
            </w:r>
          </w:p>
        </w:tc>
        <w:tc>
          <w:tcPr>
            <w:tcW w:w="1492" w:type="dxa"/>
            <w:shd w:val="clear" w:color="auto" w:fill="auto"/>
            <w:noWrap/>
            <w:hideMark/>
          </w:tcPr>
          <w:p w14:paraId="2062C2B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7D4B59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50E01FD" w14:textId="77777777" w:rsidTr="00C10263">
        <w:trPr>
          <w:trHeight w:val="620"/>
          <w:jc w:val="center"/>
        </w:trPr>
        <w:tc>
          <w:tcPr>
            <w:tcW w:w="307" w:type="dxa"/>
            <w:shd w:val="clear" w:color="000000" w:fill="FFFFFF"/>
            <w:noWrap/>
            <w:hideMark/>
          </w:tcPr>
          <w:p w14:paraId="0BB4F0E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78A40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DCE01E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32AD9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5.1.1.1</w:t>
            </w:r>
          </w:p>
        </w:tc>
        <w:tc>
          <w:tcPr>
            <w:tcW w:w="3073" w:type="dxa"/>
            <w:gridSpan w:val="2"/>
            <w:shd w:val="clear" w:color="000000" w:fill="FFFFFF"/>
            <w:noWrap/>
            <w:hideMark/>
          </w:tcPr>
          <w:p w14:paraId="4DDF1A2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Utilidades y Rendimientos de Otras Inversiones en Créditos y Valores.</w:t>
            </w:r>
          </w:p>
        </w:tc>
        <w:tc>
          <w:tcPr>
            <w:tcW w:w="1566" w:type="dxa"/>
            <w:shd w:val="clear" w:color="000000" w:fill="FFFFFF"/>
            <w:noWrap/>
            <w:hideMark/>
          </w:tcPr>
          <w:p w14:paraId="02FBAA4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398,463,020</w:t>
            </w:r>
          </w:p>
        </w:tc>
        <w:tc>
          <w:tcPr>
            <w:tcW w:w="1492" w:type="dxa"/>
            <w:shd w:val="clear" w:color="auto" w:fill="auto"/>
            <w:noWrap/>
            <w:hideMark/>
          </w:tcPr>
          <w:p w14:paraId="0BC04AA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AFC888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1EAC9A0" w14:textId="77777777" w:rsidTr="00C10263">
        <w:trPr>
          <w:trHeight w:val="570"/>
          <w:jc w:val="center"/>
        </w:trPr>
        <w:tc>
          <w:tcPr>
            <w:tcW w:w="307" w:type="dxa"/>
            <w:shd w:val="clear" w:color="000000" w:fill="FFFFFF"/>
            <w:noWrap/>
            <w:hideMark/>
          </w:tcPr>
          <w:p w14:paraId="356F33E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628166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AEFC78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5.1.2</w:t>
            </w:r>
          </w:p>
        </w:tc>
        <w:tc>
          <w:tcPr>
            <w:tcW w:w="3923" w:type="dxa"/>
            <w:gridSpan w:val="3"/>
            <w:shd w:val="clear" w:color="000000" w:fill="FFFFFF"/>
            <w:noWrap/>
            <w:hideMark/>
          </w:tcPr>
          <w:p w14:paraId="6BC57D2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Productos que Generan Ingresos Corrientes:</w:t>
            </w:r>
          </w:p>
        </w:tc>
        <w:tc>
          <w:tcPr>
            <w:tcW w:w="1566" w:type="dxa"/>
            <w:shd w:val="clear" w:color="000000" w:fill="FFFFFF"/>
            <w:noWrap/>
            <w:hideMark/>
          </w:tcPr>
          <w:p w14:paraId="125EFA1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13,613,874</w:t>
            </w:r>
          </w:p>
        </w:tc>
        <w:tc>
          <w:tcPr>
            <w:tcW w:w="1492" w:type="dxa"/>
            <w:shd w:val="clear" w:color="auto" w:fill="auto"/>
            <w:noWrap/>
            <w:hideMark/>
          </w:tcPr>
          <w:p w14:paraId="60AE062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F2FA5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300BABB" w14:textId="77777777" w:rsidTr="00C10263">
        <w:trPr>
          <w:trHeight w:val="255"/>
          <w:jc w:val="center"/>
        </w:trPr>
        <w:tc>
          <w:tcPr>
            <w:tcW w:w="307" w:type="dxa"/>
            <w:shd w:val="clear" w:color="000000" w:fill="FFFFFF"/>
            <w:noWrap/>
            <w:hideMark/>
          </w:tcPr>
          <w:p w14:paraId="1745D65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6D3CB1E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C82C7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031797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5.1.2.1</w:t>
            </w:r>
          </w:p>
        </w:tc>
        <w:tc>
          <w:tcPr>
            <w:tcW w:w="3073" w:type="dxa"/>
            <w:gridSpan w:val="2"/>
            <w:shd w:val="clear" w:color="000000" w:fill="FFFFFF"/>
            <w:noWrap/>
            <w:hideMark/>
          </w:tcPr>
          <w:p w14:paraId="150E1F2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Periódico Oficial.</w:t>
            </w:r>
          </w:p>
        </w:tc>
        <w:tc>
          <w:tcPr>
            <w:tcW w:w="1566" w:type="dxa"/>
            <w:shd w:val="clear" w:color="000000" w:fill="FFFFFF"/>
            <w:noWrap/>
            <w:hideMark/>
          </w:tcPr>
          <w:p w14:paraId="59CEE3B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12,769,504</w:t>
            </w:r>
          </w:p>
        </w:tc>
        <w:tc>
          <w:tcPr>
            <w:tcW w:w="1492" w:type="dxa"/>
            <w:shd w:val="clear" w:color="auto" w:fill="auto"/>
            <w:noWrap/>
            <w:hideMark/>
          </w:tcPr>
          <w:p w14:paraId="7103435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53C3D1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EF94EA4" w14:textId="77777777" w:rsidTr="00C10263">
        <w:trPr>
          <w:trHeight w:val="255"/>
          <w:jc w:val="center"/>
        </w:trPr>
        <w:tc>
          <w:tcPr>
            <w:tcW w:w="307" w:type="dxa"/>
            <w:shd w:val="clear" w:color="000000" w:fill="FFFFFF"/>
            <w:noWrap/>
            <w:hideMark/>
          </w:tcPr>
          <w:p w14:paraId="1E0858D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14455A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59751B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927D0F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5.1.2.2</w:t>
            </w:r>
          </w:p>
        </w:tc>
        <w:tc>
          <w:tcPr>
            <w:tcW w:w="3073" w:type="dxa"/>
            <w:gridSpan w:val="2"/>
            <w:shd w:val="clear" w:color="000000" w:fill="FFFFFF"/>
            <w:noWrap/>
            <w:hideMark/>
          </w:tcPr>
          <w:p w14:paraId="1787B5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Impresos y Papel Especial.</w:t>
            </w:r>
          </w:p>
        </w:tc>
        <w:tc>
          <w:tcPr>
            <w:tcW w:w="1566" w:type="dxa"/>
            <w:shd w:val="clear" w:color="000000" w:fill="FFFFFF"/>
            <w:noWrap/>
            <w:hideMark/>
          </w:tcPr>
          <w:p w14:paraId="4C4C895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84,757</w:t>
            </w:r>
          </w:p>
        </w:tc>
        <w:tc>
          <w:tcPr>
            <w:tcW w:w="1492" w:type="dxa"/>
            <w:shd w:val="clear" w:color="auto" w:fill="auto"/>
            <w:noWrap/>
            <w:hideMark/>
          </w:tcPr>
          <w:p w14:paraId="2F3D7B0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4A5FD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9C45AEE" w14:textId="77777777" w:rsidTr="00C10263">
        <w:trPr>
          <w:trHeight w:val="255"/>
          <w:jc w:val="center"/>
        </w:trPr>
        <w:tc>
          <w:tcPr>
            <w:tcW w:w="307" w:type="dxa"/>
            <w:shd w:val="clear" w:color="000000" w:fill="FFFFFF"/>
            <w:noWrap/>
            <w:hideMark/>
          </w:tcPr>
          <w:p w14:paraId="4D4ABAF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6F2E02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E8E3D3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1D03DC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5.1.2.3</w:t>
            </w:r>
          </w:p>
        </w:tc>
        <w:tc>
          <w:tcPr>
            <w:tcW w:w="3073" w:type="dxa"/>
            <w:gridSpan w:val="2"/>
            <w:shd w:val="clear" w:color="000000" w:fill="FFFFFF"/>
            <w:noWrap/>
            <w:hideMark/>
          </w:tcPr>
          <w:p w14:paraId="0CDED5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Productos.</w:t>
            </w:r>
          </w:p>
        </w:tc>
        <w:tc>
          <w:tcPr>
            <w:tcW w:w="1566" w:type="dxa"/>
            <w:shd w:val="clear" w:color="000000" w:fill="FFFFFF"/>
            <w:noWrap/>
            <w:hideMark/>
          </w:tcPr>
          <w:p w14:paraId="5BAECA8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759,613</w:t>
            </w:r>
          </w:p>
        </w:tc>
        <w:tc>
          <w:tcPr>
            <w:tcW w:w="1492" w:type="dxa"/>
            <w:shd w:val="clear" w:color="auto" w:fill="auto"/>
            <w:noWrap/>
            <w:hideMark/>
          </w:tcPr>
          <w:p w14:paraId="5B9BA62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D41361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45E0CD7" w14:textId="77777777" w:rsidTr="00C10263">
        <w:trPr>
          <w:trHeight w:val="654"/>
          <w:jc w:val="center"/>
        </w:trPr>
        <w:tc>
          <w:tcPr>
            <w:tcW w:w="307" w:type="dxa"/>
            <w:shd w:val="clear" w:color="000000" w:fill="FFFFFF"/>
            <w:noWrap/>
            <w:hideMark/>
          </w:tcPr>
          <w:p w14:paraId="0CE1492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9C159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5.9</w:t>
            </w:r>
          </w:p>
        </w:tc>
        <w:tc>
          <w:tcPr>
            <w:tcW w:w="4562" w:type="dxa"/>
            <w:gridSpan w:val="4"/>
            <w:shd w:val="clear" w:color="000000" w:fill="FFFFFF"/>
            <w:noWrap/>
            <w:hideMark/>
          </w:tcPr>
          <w:p w14:paraId="498244C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Productos no Comprendidos en la Ley de Ingresos Vigente, Causados en Ejercicios Fiscales Anteriores Pendientes de Liquidación o Pago.</w:t>
            </w:r>
          </w:p>
        </w:tc>
        <w:tc>
          <w:tcPr>
            <w:tcW w:w="1566" w:type="dxa"/>
            <w:shd w:val="clear" w:color="000000" w:fill="FFFFFF"/>
            <w:noWrap/>
            <w:hideMark/>
          </w:tcPr>
          <w:p w14:paraId="2595663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F7E9F8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7BBA2B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E78DCBF" w14:textId="77777777" w:rsidTr="00C10263">
        <w:trPr>
          <w:trHeight w:val="255"/>
          <w:jc w:val="center"/>
        </w:trPr>
        <w:tc>
          <w:tcPr>
            <w:tcW w:w="307" w:type="dxa"/>
            <w:shd w:val="clear" w:color="000000" w:fill="FFFFFF"/>
            <w:noWrap/>
            <w:hideMark/>
          </w:tcPr>
          <w:p w14:paraId="471F5D1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942EBB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758787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812F3B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6A1C253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54CDA8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70B6821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24AAE490"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4B0F212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7296D85" w14:textId="77777777" w:rsidTr="00C10263">
        <w:trPr>
          <w:trHeight w:val="255"/>
          <w:jc w:val="center"/>
        </w:trPr>
        <w:tc>
          <w:tcPr>
            <w:tcW w:w="307" w:type="dxa"/>
            <w:shd w:val="clear" w:color="000000" w:fill="FFFFFF"/>
            <w:noWrap/>
            <w:hideMark/>
          </w:tcPr>
          <w:p w14:paraId="1DB9489B"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6.</w:t>
            </w:r>
          </w:p>
        </w:tc>
        <w:tc>
          <w:tcPr>
            <w:tcW w:w="5062" w:type="dxa"/>
            <w:gridSpan w:val="5"/>
            <w:shd w:val="clear" w:color="000000" w:fill="FFFFFF"/>
            <w:noWrap/>
            <w:hideMark/>
          </w:tcPr>
          <w:p w14:paraId="68232524"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Aprovechamientos:</w:t>
            </w:r>
          </w:p>
        </w:tc>
        <w:tc>
          <w:tcPr>
            <w:tcW w:w="1566" w:type="dxa"/>
            <w:shd w:val="clear" w:color="000000" w:fill="FFFFFF"/>
            <w:noWrap/>
            <w:hideMark/>
          </w:tcPr>
          <w:p w14:paraId="2754D72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7CCFD846"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2,392,843,217</w:t>
            </w:r>
          </w:p>
        </w:tc>
        <w:tc>
          <w:tcPr>
            <w:tcW w:w="1492" w:type="dxa"/>
            <w:shd w:val="clear" w:color="000000" w:fill="FFFFFF"/>
            <w:noWrap/>
            <w:hideMark/>
          </w:tcPr>
          <w:p w14:paraId="4CA8EA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856A920" w14:textId="77777777" w:rsidTr="00C10263">
        <w:trPr>
          <w:trHeight w:val="255"/>
          <w:jc w:val="center"/>
        </w:trPr>
        <w:tc>
          <w:tcPr>
            <w:tcW w:w="307" w:type="dxa"/>
            <w:shd w:val="clear" w:color="000000" w:fill="FFFFFF"/>
            <w:noWrap/>
            <w:hideMark/>
          </w:tcPr>
          <w:p w14:paraId="5B5B2FC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444C2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w:t>
            </w:r>
          </w:p>
        </w:tc>
        <w:tc>
          <w:tcPr>
            <w:tcW w:w="4562" w:type="dxa"/>
            <w:gridSpan w:val="4"/>
            <w:shd w:val="clear" w:color="000000" w:fill="FFFFFF"/>
            <w:noWrap/>
            <w:hideMark/>
          </w:tcPr>
          <w:p w14:paraId="6CE3C7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Aprovechamientos:</w:t>
            </w:r>
          </w:p>
        </w:tc>
        <w:tc>
          <w:tcPr>
            <w:tcW w:w="1566" w:type="dxa"/>
            <w:shd w:val="clear" w:color="000000" w:fill="FFFFFF"/>
            <w:noWrap/>
            <w:hideMark/>
          </w:tcPr>
          <w:p w14:paraId="7962EBC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2,345,062,381</w:t>
            </w:r>
          </w:p>
        </w:tc>
        <w:tc>
          <w:tcPr>
            <w:tcW w:w="1492" w:type="dxa"/>
            <w:shd w:val="clear" w:color="auto" w:fill="auto"/>
            <w:noWrap/>
            <w:hideMark/>
          </w:tcPr>
          <w:p w14:paraId="62FB504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E42EBA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650F882" w14:textId="77777777" w:rsidTr="00C10263">
        <w:trPr>
          <w:trHeight w:val="255"/>
          <w:jc w:val="center"/>
        </w:trPr>
        <w:tc>
          <w:tcPr>
            <w:tcW w:w="307" w:type="dxa"/>
            <w:shd w:val="clear" w:color="000000" w:fill="FFFFFF"/>
            <w:noWrap/>
            <w:hideMark/>
          </w:tcPr>
          <w:p w14:paraId="3FA313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E2E39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E5C422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6.1.1</w:t>
            </w:r>
          </w:p>
        </w:tc>
        <w:tc>
          <w:tcPr>
            <w:tcW w:w="3923" w:type="dxa"/>
            <w:gridSpan w:val="3"/>
            <w:shd w:val="clear" w:color="000000" w:fill="FFFFFF"/>
            <w:noWrap/>
            <w:hideMark/>
          </w:tcPr>
          <w:p w14:paraId="346400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Multas Administrativas.</w:t>
            </w:r>
          </w:p>
        </w:tc>
        <w:tc>
          <w:tcPr>
            <w:tcW w:w="1566" w:type="dxa"/>
            <w:shd w:val="clear" w:color="000000" w:fill="FFFFFF"/>
            <w:noWrap/>
            <w:hideMark/>
          </w:tcPr>
          <w:p w14:paraId="7B6D8F1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170,919,418</w:t>
            </w:r>
          </w:p>
        </w:tc>
        <w:tc>
          <w:tcPr>
            <w:tcW w:w="1492" w:type="dxa"/>
            <w:shd w:val="clear" w:color="auto" w:fill="auto"/>
            <w:noWrap/>
            <w:hideMark/>
          </w:tcPr>
          <w:p w14:paraId="3516AFB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25F8A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16194D3" w14:textId="77777777" w:rsidTr="00C10263">
        <w:trPr>
          <w:trHeight w:val="255"/>
          <w:jc w:val="center"/>
        </w:trPr>
        <w:tc>
          <w:tcPr>
            <w:tcW w:w="307" w:type="dxa"/>
            <w:shd w:val="clear" w:color="000000" w:fill="FFFFFF"/>
            <w:noWrap/>
            <w:hideMark/>
          </w:tcPr>
          <w:p w14:paraId="4B5A93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CD0F4E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74FB07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6.1.2</w:t>
            </w:r>
          </w:p>
        </w:tc>
        <w:tc>
          <w:tcPr>
            <w:tcW w:w="3923" w:type="dxa"/>
            <w:gridSpan w:val="3"/>
            <w:shd w:val="clear" w:color="000000" w:fill="FFFFFF"/>
            <w:noWrap/>
            <w:hideMark/>
          </w:tcPr>
          <w:p w14:paraId="37316C6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Indemnizaciones.</w:t>
            </w:r>
          </w:p>
        </w:tc>
        <w:tc>
          <w:tcPr>
            <w:tcW w:w="1566" w:type="dxa"/>
            <w:shd w:val="clear" w:color="000000" w:fill="FFFFFF"/>
            <w:noWrap/>
            <w:hideMark/>
          </w:tcPr>
          <w:p w14:paraId="7E191EA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6,922,685</w:t>
            </w:r>
          </w:p>
        </w:tc>
        <w:tc>
          <w:tcPr>
            <w:tcW w:w="1492" w:type="dxa"/>
            <w:shd w:val="clear" w:color="auto" w:fill="auto"/>
            <w:noWrap/>
            <w:hideMark/>
          </w:tcPr>
          <w:p w14:paraId="24B91DE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CBD9D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8490AB5" w14:textId="77777777" w:rsidTr="00C10263">
        <w:trPr>
          <w:trHeight w:val="255"/>
          <w:jc w:val="center"/>
        </w:trPr>
        <w:tc>
          <w:tcPr>
            <w:tcW w:w="307" w:type="dxa"/>
            <w:shd w:val="clear" w:color="000000" w:fill="FFFFFF"/>
            <w:noWrap/>
            <w:hideMark/>
          </w:tcPr>
          <w:p w14:paraId="57972DC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DC518C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D54FF3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6.1.3</w:t>
            </w:r>
          </w:p>
        </w:tc>
        <w:tc>
          <w:tcPr>
            <w:tcW w:w="3923" w:type="dxa"/>
            <w:gridSpan w:val="3"/>
            <w:shd w:val="clear" w:color="000000" w:fill="FFFFFF"/>
            <w:noWrap/>
            <w:hideMark/>
          </w:tcPr>
          <w:p w14:paraId="70D0725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Reintegros.</w:t>
            </w:r>
          </w:p>
        </w:tc>
        <w:tc>
          <w:tcPr>
            <w:tcW w:w="1566" w:type="dxa"/>
            <w:shd w:val="clear" w:color="000000" w:fill="FFFFFF"/>
            <w:noWrap/>
            <w:hideMark/>
          </w:tcPr>
          <w:p w14:paraId="07BE7F3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384,261,498</w:t>
            </w:r>
          </w:p>
        </w:tc>
        <w:tc>
          <w:tcPr>
            <w:tcW w:w="1492" w:type="dxa"/>
            <w:shd w:val="clear" w:color="auto" w:fill="auto"/>
            <w:noWrap/>
            <w:hideMark/>
          </w:tcPr>
          <w:p w14:paraId="3224441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454122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AA68ADC" w14:textId="77777777" w:rsidTr="00C10263">
        <w:trPr>
          <w:trHeight w:val="255"/>
          <w:jc w:val="center"/>
        </w:trPr>
        <w:tc>
          <w:tcPr>
            <w:tcW w:w="307" w:type="dxa"/>
            <w:shd w:val="clear" w:color="000000" w:fill="FFFFFF"/>
            <w:noWrap/>
            <w:hideMark/>
          </w:tcPr>
          <w:p w14:paraId="452C7F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723F8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9FCD23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6.1.4</w:t>
            </w:r>
          </w:p>
        </w:tc>
        <w:tc>
          <w:tcPr>
            <w:tcW w:w="3923" w:type="dxa"/>
            <w:gridSpan w:val="3"/>
            <w:shd w:val="clear" w:color="000000" w:fill="FFFFFF"/>
            <w:noWrap/>
            <w:hideMark/>
          </w:tcPr>
          <w:p w14:paraId="1319898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Aprovechamientos:</w:t>
            </w:r>
          </w:p>
        </w:tc>
        <w:tc>
          <w:tcPr>
            <w:tcW w:w="1566" w:type="dxa"/>
            <w:shd w:val="clear" w:color="000000" w:fill="FFFFFF"/>
            <w:noWrap/>
            <w:hideMark/>
          </w:tcPr>
          <w:p w14:paraId="55BE026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1,782,958,780</w:t>
            </w:r>
          </w:p>
        </w:tc>
        <w:tc>
          <w:tcPr>
            <w:tcW w:w="1492" w:type="dxa"/>
            <w:shd w:val="clear" w:color="auto" w:fill="auto"/>
            <w:noWrap/>
            <w:hideMark/>
          </w:tcPr>
          <w:p w14:paraId="756F9EC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62C40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0B2FA2F" w14:textId="77777777" w:rsidTr="00C10263">
        <w:trPr>
          <w:trHeight w:val="540"/>
          <w:jc w:val="center"/>
        </w:trPr>
        <w:tc>
          <w:tcPr>
            <w:tcW w:w="307" w:type="dxa"/>
            <w:shd w:val="clear" w:color="000000" w:fill="FFFFFF"/>
            <w:noWrap/>
            <w:hideMark/>
          </w:tcPr>
          <w:p w14:paraId="622A00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064DB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847630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5AEBCD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6.1.4.1</w:t>
            </w:r>
          </w:p>
        </w:tc>
        <w:tc>
          <w:tcPr>
            <w:tcW w:w="3073" w:type="dxa"/>
            <w:gridSpan w:val="2"/>
            <w:shd w:val="clear" w:color="000000" w:fill="FFFFFF"/>
            <w:noWrap/>
            <w:hideMark/>
          </w:tcPr>
          <w:p w14:paraId="3B9050C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Donativos, Herencias, Cesiones y Legados.</w:t>
            </w:r>
          </w:p>
        </w:tc>
        <w:tc>
          <w:tcPr>
            <w:tcW w:w="1566" w:type="dxa"/>
            <w:shd w:val="clear" w:color="000000" w:fill="FFFFFF"/>
            <w:noWrap/>
            <w:hideMark/>
          </w:tcPr>
          <w:p w14:paraId="2A781B7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CC1918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8F882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B371335" w14:textId="77777777" w:rsidTr="00C10263">
        <w:trPr>
          <w:trHeight w:val="255"/>
          <w:jc w:val="center"/>
        </w:trPr>
        <w:tc>
          <w:tcPr>
            <w:tcW w:w="307" w:type="dxa"/>
            <w:shd w:val="clear" w:color="000000" w:fill="FFFFFF"/>
            <w:noWrap/>
            <w:hideMark/>
          </w:tcPr>
          <w:p w14:paraId="2D34B1D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99689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F24CC0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1B4506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6.1.4.2</w:t>
            </w:r>
          </w:p>
        </w:tc>
        <w:tc>
          <w:tcPr>
            <w:tcW w:w="3073" w:type="dxa"/>
            <w:gridSpan w:val="2"/>
            <w:shd w:val="clear" w:color="000000" w:fill="FFFFFF"/>
            <w:noWrap/>
            <w:hideMark/>
          </w:tcPr>
          <w:p w14:paraId="3D7C94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Resarcimientos.</w:t>
            </w:r>
          </w:p>
        </w:tc>
        <w:tc>
          <w:tcPr>
            <w:tcW w:w="1566" w:type="dxa"/>
            <w:shd w:val="clear" w:color="000000" w:fill="FFFFFF"/>
            <w:noWrap/>
            <w:hideMark/>
          </w:tcPr>
          <w:p w14:paraId="6F5F5DF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44,699</w:t>
            </w:r>
          </w:p>
        </w:tc>
        <w:tc>
          <w:tcPr>
            <w:tcW w:w="1492" w:type="dxa"/>
            <w:shd w:val="clear" w:color="auto" w:fill="auto"/>
            <w:noWrap/>
            <w:hideMark/>
          </w:tcPr>
          <w:p w14:paraId="38A5FA9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28B75E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3E759B3" w14:textId="77777777" w:rsidTr="00C10263">
        <w:trPr>
          <w:trHeight w:val="1315"/>
          <w:jc w:val="center"/>
        </w:trPr>
        <w:tc>
          <w:tcPr>
            <w:tcW w:w="307" w:type="dxa"/>
            <w:shd w:val="clear" w:color="000000" w:fill="FFFFFF"/>
            <w:noWrap/>
            <w:hideMark/>
          </w:tcPr>
          <w:p w14:paraId="1AE8AE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B7B1A9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CB83EF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3546C6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6.1.4.3</w:t>
            </w:r>
          </w:p>
        </w:tc>
        <w:tc>
          <w:tcPr>
            <w:tcW w:w="3073" w:type="dxa"/>
            <w:gridSpan w:val="2"/>
            <w:shd w:val="clear" w:color="000000" w:fill="FFFFFF"/>
            <w:noWrap/>
            <w:hideMark/>
          </w:tcPr>
          <w:p w14:paraId="08CFDA8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Aprovechamientos Diversos que se derivan de la Aplicación del Código Administrativo del Estado de México y del Código Financiero del Estado de México y Municipios.</w:t>
            </w:r>
          </w:p>
        </w:tc>
        <w:tc>
          <w:tcPr>
            <w:tcW w:w="1566" w:type="dxa"/>
            <w:shd w:val="clear" w:color="000000" w:fill="FFFFFF"/>
            <w:noWrap/>
            <w:hideMark/>
          </w:tcPr>
          <w:p w14:paraId="28FF338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46,174,573</w:t>
            </w:r>
          </w:p>
        </w:tc>
        <w:tc>
          <w:tcPr>
            <w:tcW w:w="1492" w:type="dxa"/>
            <w:shd w:val="clear" w:color="auto" w:fill="auto"/>
            <w:noWrap/>
            <w:hideMark/>
          </w:tcPr>
          <w:p w14:paraId="61697F2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73F568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A2DAB4F" w14:textId="77777777" w:rsidTr="00C10263">
        <w:trPr>
          <w:trHeight w:val="555"/>
          <w:jc w:val="center"/>
        </w:trPr>
        <w:tc>
          <w:tcPr>
            <w:tcW w:w="307" w:type="dxa"/>
            <w:shd w:val="clear" w:color="000000" w:fill="FFFFFF"/>
            <w:noWrap/>
            <w:hideMark/>
          </w:tcPr>
          <w:p w14:paraId="1D690E0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24B1E5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6D8EC7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AF475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6.1.4.4</w:t>
            </w:r>
          </w:p>
        </w:tc>
        <w:tc>
          <w:tcPr>
            <w:tcW w:w="3073" w:type="dxa"/>
            <w:gridSpan w:val="2"/>
            <w:shd w:val="clear" w:color="000000" w:fill="FFFFFF"/>
            <w:noWrap/>
            <w:hideMark/>
          </w:tcPr>
          <w:p w14:paraId="0F5770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Remanentes de Entidades Públicas.</w:t>
            </w:r>
          </w:p>
        </w:tc>
        <w:tc>
          <w:tcPr>
            <w:tcW w:w="1566" w:type="dxa"/>
            <w:shd w:val="clear" w:color="000000" w:fill="FFFFFF"/>
            <w:noWrap/>
            <w:hideMark/>
          </w:tcPr>
          <w:p w14:paraId="2891CE3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200,000,000</w:t>
            </w:r>
          </w:p>
        </w:tc>
        <w:tc>
          <w:tcPr>
            <w:tcW w:w="1492" w:type="dxa"/>
            <w:shd w:val="clear" w:color="auto" w:fill="auto"/>
            <w:noWrap/>
            <w:hideMark/>
          </w:tcPr>
          <w:p w14:paraId="7C9FE39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CEB4E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2489CED" w14:textId="77777777" w:rsidTr="00C10263">
        <w:trPr>
          <w:trHeight w:val="255"/>
          <w:jc w:val="center"/>
        </w:trPr>
        <w:tc>
          <w:tcPr>
            <w:tcW w:w="307" w:type="dxa"/>
            <w:shd w:val="clear" w:color="000000" w:fill="FFFFFF"/>
            <w:noWrap/>
            <w:hideMark/>
          </w:tcPr>
          <w:p w14:paraId="1511B02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29F48F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3C0120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A80D4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6.1.4.5</w:t>
            </w:r>
          </w:p>
        </w:tc>
        <w:tc>
          <w:tcPr>
            <w:tcW w:w="3073" w:type="dxa"/>
            <w:gridSpan w:val="2"/>
            <w:shd w:val="clear" w:color="000000" w:fill="FFFFFF"/>
            <w:noWrap/>
            <w:hideMark/>
          </w:tcPr>
          <w:p w14:paraId="4B5EC4C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Aprovechamientos.</w:t>
            </w:r>
          </w:p>
        </w:tc>
        <w:tc>
          <w:tcPr>
            <w:tcW w:w="1566" w:type="dxa"/>
            <w:shd w:val="clear" w:color="000000" w:fill="FFFFFF"/>
            <w:noWrap/>
            <w:hideMark/>
          </w:tcPr>
          <w:p w14:paraId="0DAEEDF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1,536,739,508</w:t>
            </w:r>
          </w:p>
        </w:tc>
        <w:tc>
          <w:tcPr>
            <w:tcW w:w="1492" w:type="dxa"/>
            <w:shd w:val="clear" w:color="auto" w:fill="auto"/>
            <w:noWrap/>
            <w:hideMark/>
          </w:tcPr>
          <w:p w14:paraId="0AEBEC0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7C9C2F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572CAEE" w14:textId="77777777" w:rsidTr="00C10263">
        <w:trPr>
          <w:trHeight w:val="255"/>
          <w:jc w:val="center"/>
        </w:trPr>
        <w:tc>
          <w:tcPr>
            <w:tcW w:w="307" w:type="dxa"/>
            <w:shd w:val="clear" w:color="000000" w:fill="FFFFFF"/>
            <w:noWrap/>
            <w:hideMark/>
          </w:tcPr>
          <w:p w14:paraId="26B8EFD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FD6BAD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6.2</w:t>
            </w:r>
          </w:p>
        </w:tc>
        <w:tc>
          <w:tcPr>
            <w:tcW w:w="4562" w:type="dxa"/>
            <w:gridSpan w:val="4"/>
            <w:shd w:val="clear" w:color="000000" w:fill="FFFFFF"/>
            <w:noWrap/>
            <w:hideMark/>
          </w:tcPr>
          <w:p w14:paraId="0BCB985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xml:space="preserve">Aprovechamientos Patrimoniales: </w:t>
            </w:r>
          </w:p>
        </w:tc>
        <w:tc>
          <w:tcPr>
            <w:tcW w:w="1566" w:type="dxa"/>
            <w:shd w:val="clear" w:color="000000" w:fill="FFFFFF"/>
            <w:noWrap/>
            <w:hideMark/>
          </w:tcPr>
          <w:p w14:paraId="1CA0E6B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20,351,377</w:t>
            </w:r>
          </w:p>
        </w:tc>
        <w:tc>
          <w:tcPr>
            <w:tcW w:w="1492" w:type="dxa"/>
            <w:shd w:val="clear" w:color="auto" w:fill="auto"/>
            <w:noWrap/>
            <w:hideMark/>
          </w:tcPr>
          <w:p w14:paraId="63C0373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01374C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4B4697B" w14:textId="77777777" w:rsidTr="00C10263">
        <w:trPr>
          <w:trHeight w:val="540"/>
          <w:jc w:val="center"/>
        </w:trPr>
        <w:tc>
          <w:tcPr>
            <w:tcW w:w="307" w:type="dxa"/>
            <w:shd w:val="clear" w:color="000000" w:fill="FFFFFF"/>
            <w:noWrap/>
            <w:hideMark/>
          </w:tcPr>
          <w:p w14:paraId="7FDFFCD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EF422B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6E4B9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6.2.1</w:t>
            </w:r>
          </w:p>
        </w:tc>
        <w:tc>
          <w:tcPr>
            <w:tcW w:w="3923" w:type="dxa"/>
            <w:gridSpan w:val="3"/>
            <w:shd w:val="clear" w:color="000000" w:fill="FFFFFF"/>
            <w:noWrap/>
            <w:hideMark/>
          </w:tcPr>
          <w:p w14:paraId="0FAD100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xml:space="preserve">Arrendamiento y Explotación de Bienes Muebles e Inmuebles. </w:t>
            </w:r>
          </w:p>
        </w:tc>
        <w:tc>
          <w:tcPr>
            <w:tcW w:w="1566" w:type="dxa"/>
            <w:shd w:val="clear" w:color="000000" w:fill="FFFFFF"/>
            <w:noWrap/>
            <w:hideMark/>
          </w:tcPr>
          <w:p w14:paraId="7D4BF28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20,351,377</w:t>
            </w:r>
          </w:p>
        </w:tc>
        <w:tc>
          <w:tcPr>
            <w:tcW w:w="1492" w:type="dxa"/>
            <w:shd w:val="clear" w:color="auto" w:fill="auto"/>
            <w:noWrap/>
            <w:hideMark/>
          </w:tcPr>
          <w:p w14:paraId="65A3B15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3D6DBA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A862234" w14:textId="77777777" w:rsidTr="00C10263">
        <w:trPr>
          <w:trHeight w:val="540"/>
          <w:jc w:val="center"/>
        </w:trPr>
        <w:tc>
          <w:tcPr>
            <w:tcW w:w="307" w:type="dxa"/>
            <w:shd w:val="clear" w:color="000000" w:fill="FFFFFF"/>
            <w:noWrap/>
            <w:hideMark/>
          </w:tcPr>
          <w:p w14:paraId="483F842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7BD98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F8B43E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6.2.2</w:t>
            </w:r>
          </w:p>
        </w:tc>
        <w:tc>
          <w:tcPr>
            <w:tcW w:w="3923" w:type="dxa"/>
            <w:gridSpan w:val="3"/>
            <w:shd w:val="clear" w:color="000000" w:fill="FFFFFF"/>
            <w:noWrap/>
            <w:hideMark/>
          </w:tcPr>
          <w:p w14:paraId="2CBA165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Enajenación de Bienes Muebles e Inmuebles no Sujetos a ser Inventariados.</w:t>
            </w:r>
          </w:p>
        </w:tc>
        <w:tc>
          <w:tcPr>
            <w:tcW w:w="1566" w:type="dxa"/>
            <w:shd w:val="clear" w:color="000000" w:fill="FFFFFF"/>
            <w:noWrap/>
            <w:hideMark/>
          </w:tcPr>
          <w:p w14:paraId="79F804B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3ADA872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C808B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FD3A049" w14:textId="77777777" w:rsidTr="00C10263">
        <w:trPr>
          <w:trHeight w:val="255"/>
          <w:jc w:val="center"/>
        </w:trPr>
        <w:tc>
          <w:tcPr>
            <w:tcW w:w="307" w:type="dxa"/>
            <w:shd w:val="clear" w:color="000000" w:fill="FFFFFF"/>
            <w:noWrap/>
            <w:hideMark/>
          </w:tcPr>
          <w:p w14:paraId="26DAE3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654CC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6.3</w:t>
            </w:r>
          </w:p>
        </w:tc>
        <w:tc>
          <w:tcPr>
            <w:tcW w:w="4562" w:type="dxa"/>
            <w:gridSpan w:val="4"/>
            <w:shd w:val="clear" w:color="000000" w:fill="FFFFFF"/>
            <w:noWrap/>
            <w:hideMark/>
          </w:tcPr>
          <w:p w14:paraId="6E3D0C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Accesorios de Aprovechamientos:</w:t>
            </w:r>
          </w:p>
        </w:tc>
        <w:tc>
          <w:tcPr>
            <w:tcW w:w="1566" w:type="dxa"/>
            <w:shd w:val="clear" w:color="000000" w:fill="FFFFFF"/>
            <w:noWrap/>
            <w:hideMark/>
          </w:tcPr>
          <w:p w14:paraId="3715437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27,429,459</w:t>
            </w:r>
          </w:p>
        </w:tc>
        <w:tc>
          <w:tcPr>
            <w:tcW w:w="1492" w:type="dxa"/>
            <w:shd w:val="clear" w:color="auto" w:fill="auto"/>
            <w:noWrap/>
            <w:hideMark/>
          </w:tcPr>
          <w:p w14:paraId="45C9480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5DDFA2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44926A4" w14:textId="77777777" w:rsidTr="00C10263">
        <w:trPr>
          <w:trHeight w:val="255"/>
          <w:jc w:val="center"/>
        </w:trPr>
        <w:tc>
          <w:tcPr>
            <w:tcW w:w="307" w:type="dxa"/>
            <w:shd w:val="clear" w:color="000000" w:fill="FFFFFF"/>
            <w:noWrap/>
            <w:hideMark/>
          </w:tcPr>
          <w:p w14:paraId="34B8E7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49F019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30E00E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6.3.1</w:t>
            </w:r>
          </w:p>
        </w:tc>
        <w:tc>
          <w:tcPr>
            <w:tcW w:w="3923" w:type="dxa"/>
            <w:gridSpan w:val="3"/>
            <w:shd w:val="clear" w:color="000000" w:fill="FFFFFF"/>
            <w:noWrap/>
            <w:hideMark/>
          </w:tcPr>
          <w:p w14:paraId="5B46B84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Multas.</w:t>
            </w:r>
          </w:p>
        </w:tc>
        <w:tc>
          <w:tcPr>
            <w:tcW w:w="1566" w:type="dxa"/>
            <w:shd w:val="clear" w:color="000000" w:fill="FFFFFF"/>
            <w:noWrap/>
            <w:hideMark/>
          </w:tcPr>
          <w:p w14:paraId="431935E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24,511,211</w:t>
            </w:r>
          </w:p>
        </w:tc>
        <w:tc>
          <w:tcPr>
            <w:tcW w:w="1492" w:type="dxa"/>
            <w:shd w:val="clear" w:color="auto" w:fill="auto"/>
            <w:noWrap/>
            <w:hideMark/>
          </w:tcPr>
          <w:p w14:paraId="3935567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E4265D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C141059" w14:textId="77777777" w:rsidTr="00C10263">
        <w:trPr>
          <w:trHeight w:val="255"/>
          <w:jc w:val="center"/>
        </w:trPr>
        <w:tc>
          <w:tcPr>
            <w:tcW w:w="307" w:type="dxa"/>
            <w:shd w:val="clear" w:color="000000" w:fill="FFFFFF"/>
            <w:noWrap/>
            <w:hideMark/>
          </w:tcPr>
          <w:p w14:paraId="655C5D5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3766EF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18B935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6.3.2</w:t>
            </w:r>
          </w:p>
        </w:tc>
        <w:tc>
          <w:tcPr>
            <w:tcW w:w="3923" w:type="dxa"/>
            <w:gridSpan w:val="3"/>
            <w:shd w:val="clear" w:color="000000" w:fill="FFFFFF"/>
            <w:noWrap/>
            <w:hideMark/>
          </w:tcPr>
          <w:p w14:paraId="32A0E88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Recargos.</w:t>
            </w:r>
          </w:p>
        </w:tc>
        <w:tc>
          <w:tcPr>
            <w:tcW w:w="1566" w:type="dxa"/>
            <w:shd w:val="clear" w:color="000000" w:fill="FFFFFF"/>
            <w:noWrap/>
            <w:hideMark/>
          </w:tcPr>
          <w:p w14:paraId="6205F83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258,903</w:t>
            </w:r>
          </w:p>
        </w:tc>
        <w:tc>
          <w:tcPr>
            <w:tcW w:w="1492" w:type="dxa"/>
            <w:shd w:val="clear" w:color="auto" w:fill="auto"/>
            <w:noWrap/>
            <w:hideMark/>
          </w:tcPr>
          <w:p w14:paraId="1A0FEFA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06ACBA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4B94DA3" w14:textId="77777777" w:rsidTr="00C10263">
        <w:trPr>
          <w:trHeight w:val="255"/>
          <w:jc w:val="center"/>
        </w:trPr>
        <w:tc>
          <w:tcPr>
            <w:tcW w:w="307" w:type="dxa"/>
            <w:shd w:val="clear" w:color="000000" w:fill="FFFFFF"/>
            <w:noWrap/>
            <w:hideMark/>
          </w:tcPr>
          <w:p w14:paraId="38C40D3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43B932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C89246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6.3.3</w:t>
            </w:r>
          </w:p>
        </w:tc>
        <w:tc>
          <w:tcPr>
            <w:tcW w:w="3923" w:type="dxa"/>
            <w:gridSpan w:val="3"/>
            <w:shd w:val="clear" w:color="000000" w:fill="FFFFFF"/>
            <w:noWrap/>
            <w:hideMark/>
          </w:tcPr>
          <w:p w14:paraId="04461FB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Gastos de Ejecución.</w:t>
            </w:r>
          </w:p>
        </w:tc>
        <w:tc>
          <w:tcPr>
            <w:tcW w:w="1566" w:type="dxa"/>
            <w:shd w:val="clear" w:color="000000" w:fill="FFFFFF"/>
            <w:noWrap/>
            <w:hideMark/>
          </w:tcPr>
          <w:p w14:paraId="113C88D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2,659,246</w:t>
            </w:r>
          </w:p>
        </w:tc>
        <w:tc>
          <w:tcPr>
            <w:tcW w:w="1492" w:type="dxa"/>
            <w:shd w:val="clear" w:color="auto" w:fill="auto"/>
            <w:noWrap/>
            <w:hideMark/>
          </w:tcPr>
          <w:p w14:paraId="5A59E77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611676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60F4E16" w14:textId="77777777" w:rsidTr="00C10263">
        <w:trPr>
          <w:trHeight w:val="255"/>
          <w:jc w:val="center"/>
        </w:trPr>
        <w:tc>
          <w:tcPr>
            <w:tcW w:w="307" w:type="dxa"/>
            <w:shd w:val="clear" w:color="000000" w:fill="FFFFFF"/>
            <w:noWrap/>
            <w:hideMark/>
          </w:tcPr>
          <w:p w14:paraId="73E430E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43584E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4379FF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6.3.4</w:t>
            </w:r>
          </w:p>
        </w:tc>
        <w:tc>
          <w:tcPr>
            <w:tcW w:w="3923" w:type="dxa"/>
            <w:gridSpan w:val="3"/>
            <w:shd w:val="clear" w:color="000000" w:fill="FFFFFF"/>
            <w:noWrap/>
            <w:hideMark/>
          </w:tcPr>
          <w:p w14:paraId="450022E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Indemnización por Devolución de Cheques.</w:t>
            </w:r>
          </w:p>
        </w:tc>
        <w:tc>
          <w:tcPr>
            <w:tcW w:w="1566" w:type="dxa"/>
            <w:shd w:val="clear" w:color="000000" w:fill="FFFFFF"/>
            <w:noWrap/>
            <w:hideMark/>
          </w:tcPr>
          <w:p w14:paraId="31484B9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99</w:t>
            </w:r>
          </w:p>
        </w:tc>
        <w:tc>
          <w:tcPr>
            <w:tcW w:w="1492" w:type="dxa"/>
            <w:shd w:val="clear" w:color="auto" w:fill="auto"/>
            <w:noWrap/>
            <w:hideMark/>
          </w:tcPr>
          <w:p w14:paraId="3D88BED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20F0A6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486CD64" w14:textId="77777777" w:rsidTr="00C10263">
        <w:trPr>
          <w:trHeight w:val="625"/>
          <w:jc w:val="center"/>
        </w:trPr>
        <w:tc>
          <w:tcPr>
            <w:tcW w:w="307" w:type="dxa"/>
            <w:shd w:val="clear" w:color="000000" w:fill="FFFFFF"/>
            <w:noWrap/>
            <w:hideMark/>
          </w:tcPr>
          <w:p w14:paraId="24338A1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844937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6.9</w:t>
            </w:r>
          </w:p>
        </w:tc>
        <w:tc>
          <w:tcPr>
            <w:tcW w:w="4562" w:type="dxa"/>
            <w:gridSpan w:val="4"/>
            <w:shd w:val="clear" w:color="000000" w:fill="FFFFFF"/>
            <w:noWrap/>
            <w:hideMark/>
          </w:tcPr>
          <w:p w14:paraId="29DA9F5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Aprovechamientos no Comprendidos en la Ley de Ingresos Vigente, Causados en Ejercicios Fiscales Anteriores Pendientes de Liquidación o Pago.</w:t>
            </w:r>
          </w:p>
        </w:tc>
        <w:tc>
          <w:tcPr>
            <w:tcW w:w="1566" w:type="dxa"/>
            <w:shd w:val="clear" w:color="000000" w:fill="FFFFFF"/>
            <w:noWrap/>
            <w:hideMark/>
          </w:tcPr>
          <w:p w14:paraId="431F954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DAEF2B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BA1AD6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9439074" w14:textId="77777777" w:rsidTr="00C10263">
        <w:trPr>
          <w:trHeight w:val="90"/>
          <w:jc w:val="center"/>
        </w:trPr>
        <w:tc>
          <w:tcPr>
            <w:tcW w:w="307" w:type="dxa"/>
            <w:shd w:val="clear" w:color="000000" w:fill="FFFFFF"/>
            <w:noWrap/>
            <w:hideMark/>
          </w:tcPr>
          <w:p w14:paraId="7282684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FE6EB1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8D6C5D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27007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2ECA1CB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1ABC606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47CB84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65A1FD63"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1282A6B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0CA8C69" w14:textId="77777777" w:rsidTr="00C10263">
        <w:trPr>
          <w:trHeight w:val="555"/>
          <w:jc w:val="center"/>
        </w:trPr>
        <w:tc>
          <w:tcPr>
            <w:tcW w:w="307" w:type="dxa"/>
            <w:shd w:val="clear" w:color="000000" w:fill="FFFFFF"/>
            <w:noWrap/>
            <w:hideMark/>
          </w:tcPr>
          <w:p w14:paraId="70098C47"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7.</w:t>
            </w:r>
          </w:p>
        </w:tc>
        <w:tc>
          <w:tcPr>
            <w:tcW w:w="5062" w:type="dxa"/>
            <w:gridSpan w:val="5"/>
            <w:shd w:val="clear" w:color="000000" w:fill="FFFFFF"/>
            <w:noWrap/>
            <w:hideMark/>
          </w:tcPr>
          <w:p w14:paraId="39576D57"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Ingresos por Venta de Bienes, Prestación de Servicios y Otros Ingresos:</w:t>
            </w:r>
          </w:p>
        </w:tc>
        <w:tc>
          <w:tcPr>
            <w:tcW w:w="1566" w:type="dxa"/>
            <w:shd w:val="clear" w:color="000000" w:fill="FFFFFF"/>
            <w:noWrap/>
            <w:hideMark/>
          </w:tcPr>
          <w:p w14:paraId="6A0A6BA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2CD1100E"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5,700,380,366</w:t>
            </w:r>
          </w:p>
        </w:tc>
        <w:tc>
          <w:tcPr>
            <w:tcW w:w="1492" w:type="dxa"/>
            <w:shd w:val="clear" w:color="000000" w:fill="FFFFFF"/>
            <w:noWrap/>
            <w:hideMark/>
          </w:tcPr>
          <w:p w14:paraId="6B61C4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3D2AA37" w14:textId="77777777" w:rsidTr="00C10263">
        <w:trPr>
          <w:trHeight w:val="795"/>
          <w:jc w:val="center"/>
        </w:trPr>
        <w:tc>
          <w:tcPr>
            <w:tcW w:w="307" w:type="dxa"/>
            <w:shd w:val="clear" w:color="000000" w:fill="FFFFFF"/>
            <w:noWrap/>
            <w:hideMark/>
          </w:tcPr>
          <w:p w14:paraId="1579531E"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 </w:t>
            </w:r>
          </w:p>
        </w:tc>
        <w:tc>
          <w:tcPr>
            <w:tcW w:w="500" w:type="dxa"/>
            <w:shd w:val="clear" w:color="000000" w:fill="FFFFFF"/>
            <w:noWrap/>
            <w:hideMark/>
          </w:tcPr>
          <w:p w14:paraId="6A7657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7.1</w:t>
            </w:r>
          </w:p>
        </w:tc>
        <w:tc>
          <w:tcPr>
            <w:tcW w:w="4562" w:type="dxa"/>
            <w:gridSpan w:val="4"/>
            <w:shd w:val="clear" w:color="000000" w:fill="FFFFFF"/>
            <w:noWrap/>
            <w:hideMark/>
          </w:tcPr>
          <w:p w14:paraId="5907ACC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Instituciones Públicas de Seguridad Social:</w:t>
            </w:r>
          </w:p>
        </w:tc>
        <w:tc>
          <w:tcPr>
            <w:tcW w:w="1566" w:type="dxa"/>
            <w:shd w:val="clear" w:color="000000" w:fill="FFFFFF"/>
            <w:noWrap/>
            <w:hideMark/>
          </w:tcPr>
          <w:p w14:paraId="167C41F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1,494,260,960</w:t>
            </w:r>
          </w:p>
        </w:tc>
        <w:tc>
          <w:tcPr>
            <w:tcW w:w="1492" w:type="dxa"/>
            <w:shd w:val="clear" w:color="auto" w:fill="auto"/>
            <w:noWrap/>
            <w:hideMark/>
          </w:tcPr>
          <w:p w14:paraId="37FC256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F33DDD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E21DCB9" w14:textId="77777777" w:rsidTr="00C10263">
        <w:trPr>
          <w:trHeight w:val="540"/>
          <w:jc w:val="center"/>
        </w:trPr>
        <w:tc>
          <w:tcPr>
            <w:tcW w:w="307" w:type="dxa"/>
            <w:shd w:val="clear" w:color="000000" w:fill="FFFFFF"/>
            <w:noWrap/>
            <w:hideMark/>
          </w:tcPr>
          <w:p w14:paraId="23D8FEC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6B23F3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F2F88D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7.1.1</w:t>
            </w:r>
          </w:p>
        </w:tc>
        <w:tc>
          <w:tcPr>
            <w:tcW w:w="3923" w:type="dxa"/>
            <w:gridSpan w:val="3"/>
            <w:shd w:val="clear" w:color="000000" w:fill="FFFFFF"/>
            <w:noWrap/>
            <w:hideMark/>
          </w:tcPr>
          <w:p w14:paraId="2DA200A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Seguridad Social del Estado de México y Municipios.</w:t>
            </w:r>
          </w:p>
        </w:tc>
        <w:tc>
          <w:tcPr>
            <w:tcW w:w="1566" w:type="dxa"/>
            <w:shd w:val="clear" w:color="000000" w:fill="FFFFFF"/>
            <w:noWrap/>
            <w:hideMark/>
          </w:tcPr>
          <w:p w14:paraId="3B00620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1,494,260,960</w:t>
            </w:r>
          </w:p>
        </w:tc>
        <w:tc>
          <w:tcPr>
            <w:tcW w:w="1492" w:type="dxa"/>
            <w:shd w:val="clear" w:color="auto" w:fill="auto"/>
            <w:noWrap/>
            <w:hideMark/>
          </w:tcPr>
          <w:p w14:paraId="18BEAD4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60AF9E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5468A2E" w14:textId="77777777" w:rsidTr="00C10263">
        <w:trPr>
          <w:trHeight w:val="525"/>
          <w:jc w:val="center"/>
        </w:trPr>
        <w:tc>
          <w:tcPr>
            <w:tcW w:w="307" w:type="dxa"/>
            <w:shd w:val="clear" w:color="000000" w:fill="FFFFFF"/>
            <w:noWrap/>
            <w:hideMark/>
          </w:tcPr>
          <w:p w14:paraId="041D7BD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A2426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7.2</w:t>
            </w:r>
          </w:p>
        </w:tc>
        <w:tc>
          <w:tcPr>
            <w:tcW w:w="4562" w:type="dxa"/>
            <w:gridSpan w:val="4"/>
            <w:shd w:val="clear" w:color="000000" w:fill="FFFFFF"/>
            <w:noWrap/>
            <w:hideMark/>
          </w:tcPr>
          <w:p w14:paraId="57E95FF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Empresas Productivas del Estado.</w:t>
            </w:r>
          </w:p>
        </w:tc>
        <w:tc>
          <w:tcPr>
            <w:tcW w:w="1566" w:type="dxa"/>
            <w:shd w:val="clear" w:color="000000" w:fill="FFFFFF"/>
            <w:noWrap/>
            <w:hideMark/>
          </w:tcPr>
          <w:p w14:paraId="2F149E4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45086E5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F7EF9E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90A520A" w14:textId="77777777" w:rsidTr="00C10263">
        <w:trPr>
          <w:trHeight w:val="648"/>
          <w:jc w:val="center"/>
        </w:trPr>
        <w:tc>
          <w:tcPr>
            <w:tcW w:w="307" w:type="dxa"/>
            <w:shd w:val="clear" w:color="000000" w:fill="FFFFFF"/>
            <w:noWrap/>
            <w:hideMark/>
          </w:tcPr>
          <w:p w14:paraId="2E2FF070"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lastRenderedPageBreak/>
              <w:t> </w:t>
            </w:r>
          </w:p>
        </w:tc>
        <w:tc>
          <w:tcPr>
            <w:tcW w:w="500" w:type="dxa"/>
            <w:shd w:val="clear" w:color="000000" w:fill="FFFFFF"/>
            <w:noWrap/>
            <w:hideMark/>
          </w:tcPr>
          <w:p w14:paraId="0027B7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w:t>
            </w:r>
          </w:p>
        </w:tc>
        <w:tc>
          <w:tcPr>
            <w:tcW w:w="4562" w:type="dxa"/>
            <w:gridSpan w:val="4"/>
            <w:shd w:val="clear" w:color="000000" w:fill="FFFFFF"/>
            <w:noWrap/>
            <w:hideMark/>
          </w:tcPr>
          <w:p w14:paraId="0EB985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Entidades Paraestatales y Fideicomisos No Empresariales y No Financieros:</w:t>
            </w:r>
          </w:p>
        </w:tc>
        <w:tc>
          <w:tcPr>
            <w:tcW w:w="1566" w:type="dxa"/>
            <w:shd w:val="clear" w:color="000000" w:fill="FFFFFF"/>
            <w:noWrap/>
            <w:hideMark/>
          </w:tcPr>
          <w:p w14:paraId="7E3A9B3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3,040,409,367</w:t>
            </w:r>
          </w:p>
        </w:tc>
        <w:tc>
          <w:tcPr>
            <w:tcW w:w="1492" w:type="dxa"/>
            <w:shd w:val="clear" w:color="auto" w:fill="auto"/>
            <w:noWrap/>
            <w:hideMark/>
          </w:tcPr>
          <w:p w14:paraId="2962159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2E3D2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6D7D9A3" w14:textId="77777777" w:rsidTr="00C10263">
        <w:trPr>
          <w:trHeight w:val="525"/>
          <w:jc w:val="center"/>
        </w:trPr>
        <w:tc>
          <w:tcPr>
            <w:tcW w:w="307" w:type="dxa"/>
            <w:shd w:val="clear" w:color="000000" w:fill="FFFFFF"/>
            <w:noWrap/>
            <w:hideMark/>
          </w:tcPr>
          <w:p w14:paraId="4BFA271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6B9A46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AE596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w:t>
            </w:r>
          </w:p>
        </w:tc>
        <w:tc>
          <w:tcPr>
            <w:tcW w:w="3923" w:type="dxa"/>
            <w:gridSpan w:val="3"/>
            <w:shd w:val="clear" w:color="000000" w:fill="FFFFFF"/>
            <w:noWrap/>
            <w:hideMark/>
          </w:tcPr>
          <w:p w14:paraId="44D07EB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Sistema para el Desarrollo Integral de la Familia del Estado de México.</w:t>
            </w:r>
          </w:p>
        </w:tc>
        <w:tc>
          <w:tcPr>
            <w:tcW w:w="1566" w:type="dxa"/>
            <w:shd w:val="clear" w:color="000000" w:fill="FFFFFF"/>
            <w:noWrap/>
            <w:hideMark/>
          </w:tcPr>
          <w:p w14:paraId="0D99553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54,557,418</w:t>
            </w:r>
          </w:p>
        </w:tc>
        <w:tc>
          <w:tcPr>
            <w:tcW w:w="1492" w:type="dxa"/>
            <w:shd w:val="clear" w:color="auto" w:fill="auto"/>
            <w:noWrap/>
            <w:hideMark/>
          </w:tcPr>
          <w:p w14:paraId="4E66338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1D3D67A"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9B4FDF4" w14:textId="77777777" w:rsidTr="00C10263">
        <w:trPr>
          <w:trHeight w:val="300"/>
          <w:jc w:val="center"/>
        </w:trPr>
        <w:tc>
          <w:tcPr>
            <w:tcW w:w="307" w:type="dxa"/>
            <w:shd w:val="clear" w:color="000000" w:fill="FFFFFF"/>
            <w:noWrap/>
            <w:hideMark/>
          </w:tcPr>
          <w:p w14:paraId="51C541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77AD5A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E6342A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w:t>
            </w:r>
          </w:p>
        </w:tc>
        <w:tc>
          <w:tcPr>
            <w:tcW w:w="3923" w:type="dxa"/>
            <w:gridSpan w:val="3"/>
            <w:shd w:val="clear" w:color="000000" w:fill="FFFFFF"/>
            <w:noWrap/>
            <w:hideMark/>
          </w:tcPr>
          <w:p w14:paraId="210007F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Sistema Mexiquense de Medios Públicos.</w:t>
            </w:r>
          </w:p>
        </w:tc>
        <w:tc>
          <w:tcPr>
            <w:tcW w:w="1566" w:type="dxa"/>
            <w:shd w:val="clear" w:color="000000" w:fill="FFFFFF"/>
            <w:noWrap/>
            <w:hideMark/>
          </w:tcPr>
          <w:p w14:paraId="193E2A4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20,999,996</w:t>
            </w:r>
          </w:p>
        </w:tc>
        <w:tc>
          <w:tcPr>
            <w:tcW w:w="1492" w:type="dxa"/>
            <w:shd w:val="clear" w:color="auto" w:fill="auto"/>
            <w:noWrap/>
            <w:hideMark/>
          </w:tcPr>
          <w:p w14:paraId="00E9C62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364B65E"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35EBF7F" w14:textId="77777777" w:rsidTr="00C10263">
        <w:trPr>
          <w:trHeight w:val="300"/>
          <w:jc w:val="center"/>
        </w:trPr>
        <w:tc>
          <w:tcPr>
            <w:tcW w:w="307" w:type="dxa"/>
            <w:shd w:val="clear" w:color="000000" w:fill="FFFFFF"/>
            <w:noWrap/>
            <w:hideMark/>
          </w:tcPr>
          <w:p w14:paraId="5F7F5B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3F0090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A972C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w:t>
            </w:r>
          </w:p>
        </w:tc>
        <w:tc>
          <w:tcPr>
            <w:tcW w:w="3923" w:type="dxa"/>
            <w:gridSpan w:val="3"/>
            <w:shd w:val="clear" w:color="000000" w:fill="FFFFFF"/>
            <w:noWrap/>
            <w:hideMark/>
          </w:tcPr>
          <w:p w14:paraId="34905E7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Mexiquense de la Pirotecnia.</w:t>
            </w:r>
          </w:p>
        </w:tc>
        <w:tc>
          <w:tcPr>
            <w:tcW w:w="1566" w:type="dxa"/>
            <w:shd w:val="clear" w:color="000000" w:fill="FFFFFF"/>
            <w:noWrap/>
            <w:hideMark/>
          </w:tcPr>
          <w:p w14:paraId="2184C14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650,200</w:t>
            </w:r>
          </w:p>
        </w:tc>
        <w:tc>
          <w:tcPr>
            <w:tcW w:w="1492" w:type="dxa"/>
            <w:shd w:val="clear" w:color="auto" w:fill="auto"/>
            <w:noWrap/>
            <w:hideMark/>
          </w:tcPr>
          <w:p w14:paraId="7CF8075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23EEED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B94820B" w14:textId="77777777" w:rsidTr="00C10263">
        <w:trPr>
          <w:trHeight w:val="780"/>
          <w:jc w:val="center"/>
        </w:trPr>
        <w:tc>
          <w:tcPr>
            <w:tcW w:w="307" w:type="dxa"/>
            <w:shd w:val="clear" w:color="000000" w:fill="FFFFFF"/>
            <w:noWrap/>
            <w:hideMark/>
          </w:tcPr>
          <w:p w14:paraId="74E546D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ADBD94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F2A9E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w:t>
            </w:r>
          </w:p>
        </w:tc>
        <w:tc>
          <w:tcPr>
            <w:tcW w:w="3923" w:type="dxa"/>
            <w:gridSpan w:val="3"/>
            <w:shd w:val="clear" w:color="000000" w:fill="FFFFFF"/>
            <w:noWrap/>
            <w:hideMark/>
          </w:tcPr>
          <w:p w14:paraId="210F996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Información e Investigación Geográfica, Estadística y Catastral del Estado de México.</w:t>
            </w:r>
          </w:p>
        </w:tc>
        <w:tc>
          <w:tcPr>
            <w:tcW w:w="1566" w:type="dxa"/>
            <w:shd w:val="clear" w:color="000000" w:fill="FFFFFF"/>
            <w:noWrap/>
            <w:hideMark/>
          </w:tcPr>
          <w:p w14:paraId="6E7DA71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10,146,063</w:t>
            </w:r>
          </w:p>
        </w:tc>
        <w:tc>
          <w:tcPr>
            <w:tcW w:w="1492" w:type="dxa"/>
            <w:shd w:val="clear" w:color="auto" w:fill="auto"/>
            <w:noWrap/>
            <w:hideMark/>
          </w:tcPr>
          <w:p w14:paraId="657F010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45853D2"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EB8B871" w14:textId="77777777" w:rsidTr="00C10263">
        <w:trPr>
          <w:trHeight w:val="555"/>
          <w:jc w:val="center"/>
        </w:trPr>
        <w:tc>
          <w:tcPr>
            <w:tcW w:w="307" w:type="dxa"/>
            <w:shd w:val="clear" w:color="000000" w:fill="FFFFFF"/>
            <w:noWrap/>
            <w:hideMark/>
          </w:tcPr>
          <w:p w14:paraId="6B4DC94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22F3DC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961A9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w:t>
            </w:r>
          </w:p>
        </w:tc>
        <w:tc>
          <w:tcPr>
            <w:tcW w:w="3923" w:type="dxa"/>
            <w:gridSpan w:val="3"/>
            <w:shd w:val="clear" w:color="000000" w:fill="FFFFFF"/>
            <w:noWrap/>
            <w:hideMark/>
          </w:tcPr>
          <w:p w14:paraId="02AB96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Comité de Planeación para el Desarrollo del Estado de México.</w:t>
            </w:r>
          </w:p>
        </w:tc>
        <w:tc>
          <w:tcPr>
            <w:tcW w:w="1566" w:type="dxa"/>
            <w:shd w:val="clear" w:color="000000" w:fill="FFFFFF"/>
            <w:noWrap/>
            <w:hideMark/>
          </w:tcPr>
          <w:p w14:paraId="0BBB6E6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3087FED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C48C4F4"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12F60F3" w14:textId="77777777" w:rsidTr="00C10263">
        <w:trPr>
          <w:trHeight w:val="345"/>
          <w:jc w:val="center"/>
        </w:trPr>
        <w:tc>
          <w:tcPr>
            <w:tcW w:w="307" w:type="dxa"/>
            <w:shd w:val="clear" w:color="000000" w:fill="FFFFFF"/>
            <w:noWrap/>
            <w:hideMark/>
          </w:tcPr>
          <w:p w14:paraId="4F88A99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8DE8D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CE72F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w:t>
            </w:r>
          </w:p>
        </w:tc>
        <w:tc>
          <w:tcPr>
            <w:tcW w:w="3923" w:type="dxa"/>
            <w:gridSpan w:val="3"/>
            <w:shd w:val="clear" w:color="000000" w:fill="FFFFFF"/>
            <w:noWrap/>
            <w:hideMark/>
          </w:tcPr>
          <w:p w14:paraId="6C0AD7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Hacendario del Estado de México.</w:t>
            </w:r>
          </w:p>
        </w:tc>
        <w:tc>
          <w:tcPr>
            <w:tcW w:w="1566" w:type="dxa"/>
            <w:shd w:val="clear" w:color="000000" w:fill="FFFFFF"/>
            <w:noWrap/>
            <w:hideMark/>
          </w:tcPr>
          <w:p w14:paraId="76FCFBA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51,193,288</w:t>
            </w:r>
          </w:p>
        </w:tc>
        <w:tc>
          <w:tcPr>
            <w:tcW w:w="1492" w:type="dxa"/>
            <w:shd w:val="clear" w:color="auto" w:fill="auto"/>
            <w:noWrap/>
            <w:hideMark/>
          </w:tcPr>
          <w:p w14:paraId="624EA94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EC1F05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5759721" w14:textId="77777777" w:rsidTr="00C10263">
        <w:trPr>
          <w:trHeight w:val="555"/>
          <w:jc w:val="center"/>
        </w:trPr>
        <w:tc>
          <w:tcPr>
            <w:tcW w:w="307" w:type="dxa"/>
            <w:shd w:val="clear" w:color="000000" w:fill="FFFFFF"/>
            <w:noWrap/>
            <w:hideMark/>
          </w:tcPr>
          <w:p w14:paraId="41A72E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5B3D2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EA0D6F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w:t>
            </w:r>
          </w:p>
        </w:tc>
        <w:tc>
          <w:tcPr>
            <w:tcW w:w="3923" w:type="dxa"/>
            <w:gridSpan w:val="3"/>
            <w:shd w:val="clear" w:color="000000" w:fill="FFFFFF"/>
            <w:noWrap/>
            <w:hideMark/>
          </w:tcPr>
          <w:p w14:paraId="1B64A67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Capacitación y Adiestramiento para el Trabajo Industrial.</w:t>
            </w:r>
          </w:p>
        </w:tc>
        <w:tc>
          <w:tcPr>
            <w:tcW w:w="1566" w:type="dxa"/>
            <w:shd w:val="clear" w:color="000000" w:fill="FFFFFF"/>
            <w:noWrap/>
            <w:hideMark/>
          </w:tcPr>
          <w:p w14:paraId="7F52F50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52,000,000</w:t>
            </w:r>
          </w:p>
        </w:tc>
        <w:tc>
          <w:tcPr>
            <w:tcW w:w="1492" w:type="dxa"/>
            <w:shd w:val="clear" w:color="auto" w:fill="auto"/>
            <w:noWrap/>
            <w:hideMark/>
          </w:tcPr>
          <w:p w14:paraId="2C8FDB0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5D347C8"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BD30CA0" w14:textId="77777777" w:rsidTr="00C10263">
        <w:trPr>
          <w:trHeight w:val="510"/>
          <w:jc w:val="center"/>
        </w:trPr>
        <w:tc>
          <w:tcPr>
            <w:tcW w:w="307" w:type="dxa"/>
            <w:shd w:val="clear" w:color="000000" w:fill="FFFFFF"/>
            <w:noWrap/>
            <w:hideMark/>
          </w:tcPr>
          <w:p w14:paraId="7B338D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3D3CFE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FDAE5D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w:t>
            </w:r>
          </w:p>
        </w:tc>
        <w:tc>
          <w:tcPr>
            <w:tcW w:w="3923" w:type="dxa"/>
            <w:gridSpan w:val="3"/>
            <w:shd w:val="clear" w:color="000000" w:fill="FFFFFF"/>
            <w:noWrap/>
            <w:hideMark/>
          </w:tcPr>
          <w:p w14:paraId="3BB07A0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Servicios Educativos Integrados al Estado de México.</w:t>
            </w:r>
          </w:p>
        </w:tc>
        <w:tc>
          <w:tcPr>
            <w:tcW w:w="1566" w:type="dxa"/>
            <w:shd w:val="clear" w:color="000000" w:fill="FFFFFF"/>
            <w:noWrap/>
            <w:hideMark/>
          </w:tcPr>
          <w:p w14:paraId="7C45D0A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1D638C4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F08B34B"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24C195E" w14:textId="77777777" w:rsidTr="00C10263">
        <w:trPr>
          <w:trHeight w:val="525"/>
          <w:jc w:val="center"/>
        </w:trPr>
        <w:tc>
          <w:tcPr>
            <w:tcW w:w="307" w:type="dxa"/>
            <w:shd w:val="clear" w:color="000000" w:fill="FFFFFF"/>
            <w:noWrap/>
            <w:hideMark/>
          </w:tcPr>
          <w:p w14:paraId="4A9841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E21099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47B02C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7.3.9</w:t>
            </w:r>
          </w:p>
        </w:tc>
        <w:tc>
          <w:tcPr>
            <w:tcW w:w="3923" w:type="dxa"/>
            <w:gridSpan w:val="3"/>
            <w:shd w:val="clear" w:color="000000" w:fill="FFFFFF"/>
            <w:noWrap/>
            <w:hideMark/>
          </w:tcPr>
          <w:p w14:paraId="5E26B3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Ecatepec.</w:t>
            </w:r>
          </w:p>
        </w:tc>
        <w:tc>
          <w:tcPr>
            <w:tcW w:w="1566" w:type="dxa"/>
            <w:shd w:val="clear" w:color="000000" w:fill="FFFFFF"/>
            <w:noWrap/>
            <w:hideMark/>
          </w:tcPr>
          <w:p w14:paraId="0DC8122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80,148,399</w:t>
            </w:r>
          </w:p>
        </w:tc>
        <w:tc>
          <w:tcPr>
            <w:tcW w:w="1492" w:type="dxa"/>
            <w:shd w:val="clear" w:color="auto" w:fill="auto"/>
            <w:noWrap/>
            <w:hideMark/>
          </w:tcPr>
          <w:p w14:paraId="4F6DF46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8460C2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83571C6" w14:textId="77777777" w:rsidTr="00C10263">
        <w:trPr>
          <w:trHeight w:val="330"/>
          <w:jc w:val="center"/>
        </w:trPr>
        <w:tc>
          <w:tcPr>
            <w:tcW w:w="307" w:type="dxa"/>
            <w:shd w:val="clear" w:color="000000" w:fill="FFFFFF"/>
            <w:noWrap/>
            <w:hideMark/>
          </w:tcPr>
          <w:p w14:paraId="7C75FA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51D81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7FB2B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7.3.10</w:t>
            </w:r>
          </w:p>
        </w:tc>
        <w:tc>
          <w:tcPr>
            <w:tcW w:w="3923" w:type="dxa"/>
            <w:gridSpan w:val="3"/>
            <w:shd w:val="clear" w:color="000000" w:fill="FFFFFF"/>
            <w:noWrap/>
            <w:hideMark/>
          </w:tcPr>
          <w:p w14:paraId="29C4C09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Tecnológica de Nezahualcóyotl.</w:t>
            </w:r>
          </w:p>
        </w:tc>
        <w:tc>
          <w:tcPr>
            <w:tcW w:w="1566" w:type="dxa"/>
            <w:shd w:val="clear" w:color="000000" w:fill="FFFFFF"/>
            <w:noWrap/>
            <w:hideMark/>
          </w:tcPr>
          <w:p w14:paraId="7C1C135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36,502,760</w:t>
            </w:r>
          </w:p>
        </w:tc>
        <w:tc>
          <w:tcPr>
            <w:tcW w:w="1492" w:type="dxa"/>
            <w:shd w:val="clear" w:color="auto" w:fill="auto"/>
            <w:noWrap/>
            <w:hideMark/>
          </w:tcPr>
          <w:p w14:paraId="5C1E4E2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1A87FA4"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E0073A6" w14:textId="77777777" w:rsidTr="00C10263">
        <w:trPr>
          <w:trHeight w:val="525"/>
          <w:jc w:val="center"/>
        </w:trPr>
        <w:tc>
          <w:tcPr>
            <w:tcW w:w="307" w:type="dxa"/>
            <w:shd w:val="clear" w:color="000000" w:fill="FFFFFF"/>
            <w:noWrap/>
            <w:hideMark/>
          </w:tcPr>
          <w:p w14:paraId="055A7F7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BD7C29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F5182C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7.3.11</w:t>
            </w:r>
          </w:p>
        </w:tc>
        <w:tc>
          <w:tcPr>
            <w:tcW w:w="3923" w:type="dxa"/>
            <w:gridSpan w:val="3"/>
            <w:shd w:val="clear" w:color="000000" w:fill="FFFFFF"/>
            <w:noWrap/>
            <w:hideMark/>
          </w:tcPr>
          <w:p w14:paraId="15122D3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Colegio de Estudios Científicos y Tecnológicos del Estado de México.</w:t>
            </w:r>
          </w:p>
        </w:tc>
        <w:tc>
          <w:tcPr>
            <w:tcW w:w="1566" w:type="dxa"/>
            <w:shd w:val="clear" w:color="000000" w:fill="FFFFFF"/>
            <w:noWrap/>
            <w:hideMark/>
          </w:tcPr>
          <w:p w14:paraId="755D373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78,281,537</w:t>
            </w:r>
          </w:p>
        </w:tc>
        <w:tc>
          <w:tcPr>
            <w:tcW w:w="1492" w:type="dxa"/>
            <w:shd w:val="clear" w:color="auto" w:fill="auto"/>
            <w:noWrap/>
            <w:hideMark/>
          </w:tcPr>
          <w:p w14:paraId="141B7D6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DA715E8"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A9CDF32" w14:textId="77777777" w:rsidTr="00C10263">
        <w:trPr>
          <w:trHeight w:val="390"/>
          <w:jc w:val="center"/>
        </w:trPr>
        <w:tc>
          <w:tcPr>
            <w:tcW w:w="307" w:type="dxa"/>
            <w:shd w:val="clear" w:color="000000" w:fill="FFFFFF"/>
            <w:noWrap/>
            <w:hideMark/>
          </w:tcPr>
          <w:p w14:paraId="42615F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C90F4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0034D5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7.3.12</w:t>
            </w:r>
          </w:p>
        </w:tc>
        <w:tc>
          <w:tcPr>
            <w:tcW w:w="3923" w:type="dxa"/>
            <w:gridSpan w:val="3"/>
            <w:shd w:val="clear" w:color="000000" w:fill="FFFFFF"/>
            <w:noWrap/>
            <w:hideMark/>
          </w:tcPr>
          <w:p w14:paraId="29BB0D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Tecnológica "Fidel Velázquez".</w:t>
            </w:r>
          </w:p>
        </w:tc>
        <w:tc>
          <w:tcPr>
            <w:tcW w:w="1566" w:type="dxa"/>
            <w:shd w:val="clear" w:color="000000" w:fill="FFFFFF"/>
            <w:noWrap/>
            <w:hideMark/>
          </w:tcPr>
          <w:p w14:paraId="08085E1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45,927,853</w:t>
            </w:r>
          </w:p>
        </w:tc>
        <w:tc>
          <w:tcPr>
            <w:tcW w:w="1492" w:type="dxa"/>
            <w:shd w:val="clear" w:color="auto" w:fill="auto"/>
            <w:noWrap/>
            <w:hideMark/>
          </w:tcPr>
          <w:p w14:paraId="440F8E8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3DC6F0C"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6D609A7" w14:textId="77777777" w:rsidTr="00C10263">
        <w:trPr>
          <w:trHeight w:val="330"/>
          <w:jc w:val="center"/>
        </w:trPr>
        <w:tc>
          <w:tcPr>
            <w:tcW w:w="307" w:type="dxa"/>
            <w:shd w:val="clear" w:color="000000" w:fill="FFFFFF"/>
            <w:noWrap/>
            <w:hideMark/>
          </w:tcPr>
          <w:p w14:paraId="4F2B781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1AA54D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E863B3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7.3.13</w:t>
            </w:r>
          </w:p>
        </w:tc>
        <w:tc>
          <w:tcPr>
            <w:tcW w:w="3923" w:type="dxa"/>
            <w:gridSpan w:val="3"/>
            <w:shd w:val="clear" w:color="000000" w:fill="FFFFFF"/>
            <w:noWrap/>
            <w:hideMark/>
          </w:tcPr>
          <w:p w14:paraId="4E9B59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Tecnológica de Tecámac.</w:t>
            </w:r>
          </w:p>
        </w:tc>
        <w:tc>
          <w:tcPr>
            <w:tcW w:w="1566" w:type="dxa"/>
            <w:shd w:val="clear" w:color="000000" w:fill="FFFFFF"/>
            <w:noWrap/>
            <w:hideMark/>
          </w:tcPr>
          <w:p w14:paraId="38BD6CA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38,160,351</w:t>
            </w:r>
          </w:p>
        </w:tc>
        <w:tc>
          <w:tcPr>
            <w:tcW w:w="1492" w:type="dxa"/>
            <w:shd w:val="clear" w:color="auto" w:fill="auto"/>
            <w:noWrap/>
            <w:hideMark/>
          </w:tcPr>
          <w:p w14:paraId="55FF58A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FF7F746"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E24C4E2" w14:textId="77777777" w:rsidTr="00C10263">
        <w:trPr>
          <w:trHeight w:val="442"/>
          <w:jc w:val="center"/>
        </w:trPr>
        <w:tc>
          <w:tcPr>
            <w:tcW w:w="307" w:type="dxa"/>
            <w:shd w:val="clear" w:color="000000" w:fill="FFFFFF"/>
            <w:noWrap/>
            <w:hideMark/>
          </w:tcPr>
          <w:p w14:paraId="7C3D21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03F449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63877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7.3.14</w:t>
            </w:r>
          </w:p>
        </w:tc>
        <w:tc>
          <w:tcPr>
            <w:tcW w:w="3923" w:type="dxa"/>
            <w:gridSpan w:val="3"/>
            <w:shd w:val="clear" w:color="000000" w:fill="FFFFFF"/>
            <w:noWrap/>
            <w:hideMark/>
          </w:tcPr>
          <w:p w14:paraId="5F57FC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Colegio de Bachilleres del Estado de México.</w:t>
            </w:r>
          </w:p>
        </w:tc>
        <w:tc>
          <w:tcPr>
            <w:tcW w:w="1566" w:type="dxa"/>
            <w:shd w:val="clear" w:color="000000" w:fill="FFFFFF"/>
            <w:noWrap/>
            <w:hideMark/>
          </w:tcPr>
          <w:p w14:paraId="4D78506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66,000,000</w:t>
            </w:r>
          </w:p>
        </w:tc>
        <w:tc>
          <w:tcPr>
            <w:tcW w:w="1492" w:type="dxa"/>
            <w:shd w:val="clear" w:color="auto" w:fill="auto"/>
            <w:noWrap/>
            <w:hideMark/>
          </w:tcPr>
          <w:p w14:paraId="1BB22FA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DD9F8A6"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46D8D3D" w14:textId="77777777" w:rsidTr="00C10263">
        <w:trPr>
          <w:trHeight w:val="585"/>
          <w:jc w:val="center"/>
        </w:trPr>
        <w:tc>
          <w:tcPr>
            <w:tcW w:w="307" w:type="dxa"/>
            <w:shd w:val="clear" w:color="000000" w:fill="FFFFFF"/>
            <w:noWrap/>
            <w:hideMark/>
          </w:tcPr>
          <w:p w14:paraId="73A1DE0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3CEA6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9CDCA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7.3.15</w:t>
            </w:r>
          </w:p>
        </w:tc>
        <w:tc>
          <w:tcPr>
            <w:tcW w:w="3923" w:type="dxa"/>
            <w:gridSpan w:val="3"/>
            <w:shd w:val="clear" w:color="000000" w:fill="FFFFFF"/>
            <w:noWrap/>
            <w:hideMark/>
          </w:tcPr>
          <w:p w14:paraId="76DBD9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Coacalco.</w:t>
            </w:r>
          </w:p>
        </w:tc>
        <w:tc>
          <w:tcPr>
            <w:tcW w:w="1566" w:type="dxa"/>
            <w:shd w:val="clear" w:color="000000" w:fill="FFFFFF"/>
            <w:noWrap/>
            <w:hideMark/>
          </w:tcPr>
          <w:p w14:paraId="6B376AD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43,109,701</w:t>
            </w:r>
          </w:p>
        </w:tc>
        <w:tc>
          <w:tcPr>
            <w:tcW w:w="1492" w:type="dxa"/>
            <w:shd w:val="clear" w:color="auto" w:fill="auto"/>
            <w:noWrap/>
            <w:hideMark/>
          </w:tcPr>
          <w:p w14:paraId="4809C29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97B25F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4D17A4E" w14:textId="77777777" w:rsidTr="00C10263">
        <w:trPr>
          <w:trHeight w:val="540"/>
          <w:jc w:val="center"/>
        </w:trPr>
        <w:tc>
          <w:tcPr>
            <w:tcW w:w="307" w:type="dxa"/>
            <w:shd w:val="clear" w:color="000000" w:fill="FFFFFF"/>
            <w:noWrap/>
            <w:hideMark/>
          </w:tcPr>
          <w:p w14:paraId="39D042B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59B38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ED342D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7.3.16</w:t>
            </w:r>
          </w:p>
        </w:tc>
        <w:tc>
          <w:tcPr>
            <w:tcW w:w="3923" w:type="dxa"/>
            <w:gridSpan w:val="3"/>
            <w:shd w:val="clear" w:color="000000" w:fill="FFFFFF"/>
            <w:noWrap/>
            <w:hideMark/>
          </w:tcPr>
          <w:p w14:paraId="79B72E3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Tecnológica del Sur del Estado de México.</w:t>
            </w:r>
          </w:p>
        </w:tc>
        <w:tc>
          <w:tcPr>
            <w:tcW w:w="1566" w:type="dxa"/>
            <w:shd w:val="clear" w:color="000000" w:fill="FFFFFF"/>
            <w:noWrap/>
            <w:hideMark/>
          </w:tcPr>
          <w:p w14:paraId="0375734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9,670,511</w:t>
            </w:r>
          </w:p>
        </w:tc>
        <w:tc>
          <w:tcPr>
            <w:tcW w:w="1492" w:type="dxa"/>
            <w:shd w:val="clear" w:color="auto" w:fill="auto"/>
            <w:noWrap/>
            <w:hideMark/>
          </w:tcPr>
          <w:p w14:paraId="4BD3A57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1805F37"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C690126" w14:textId="77777777" w:rsidTr="00C10263">
        <w:trPr>
          <w:trHeight w:val="540"/>
          <w:jc w:val="center"/>
        </w:trPr>
        <w:tc>
          <w:tcPr>
            <w:tcW w:w="307" w:type="dxa"/>
            <w:shd w:val="clear" w:color="000000" w:fill="FFFFFF"/>
            <w:noWrap/>
            <w:hideMark/>
          </w:tcPr>
          <w:p w14:paraId="734DB41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702A13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AEF59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7.3.17</w:t>
            </w:r>
          </w:p>
        </w:tc>
        <w:tc>
          <w:tcPr>
            <w:tcW w:w="3923" w:type="dxa"/>
            <w:gridSpan w:val="3"/>
            <w:shd w:val="clear" w:color="000000" w:fill="FFFFFF"/>
            <w:noWrap/>
            <w:hideMark/>
          </w:tcPr>
          <w:p w14:paraId="1B53F3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Cuautitlán Izcalli.</w:t>
            </w:r>
          </w:p>
        </w:tc>
        <w:tc>
          <w:tcPr>
            <w:tcW w:w="1566" w:type="dxa"/>
            <w:shd w:val="clear" w:color="000000" w:fill="FFFFFF"/>
            <w:noWrap/>
            <w:hideMark/>
          </w:tcPr>
          <w:p w14:paraId="7EBF7DE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50,780,262</w:t>
            </w:r>
          </w:p>
        </w:tc>
        <w:tc>
          <w:tcPr>
            <w:tcW w:w="1492" w:type="dxa"/>
            <w:shd w:val="clear" w:color="auto" w:fill="auto"/>
            <w:noWrap/>
            <w:hideMark/>
          </w:tcPr>
          <w:p w14:paraId="134E53E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EF65D60"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06602D9" w14:textId="77777777" w:rsidTr="00C10263">
        <w:trPr>
          <w:trHeight w:val="525"/>
          <w:jc w:val="center"/>
        </w:trPr>
        <w:tc>
          <w:tcPr>
            <w:tcW w:w="307" w:type="dxa"/>
            <w:shd w:val="clear" w:color="000000" w:fill="FFFFFF"/>
            <w:noWrap/>
            <w:hideMark/>
          </w:tcPr>
          <w:p w14:paraId="335DB70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D43E93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15733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7.3.18</w:t>
            </w:r>
          </w:p>
        </w:tc>
        <w:tc>
          <w:tcPr>
            <w:tcW w:w="3923" w:type="dxa"/>
            <w:gridSpan w:val="3"/>
            <w:shd w:val="clear" w:color="000000" w:fill="FFFFFF"/>
            <w:noWrap/>
            <w:hideMark/>
          </w:tcPr>
          <w:p w14:paraId="296B48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del Oriente del Estado de México.</w:t>
            </w:r>
          </w:p>
        </w:tc>
        <w:tc>
          <w:tcPr>
            <w:tcW w:w="1566" w:type="dxa"/>
            <w:shd w:val="clear" w:color="000000" w:fill="FFFFFF"/>
            <w:noWrap/>
            <w:hideMark/>
          </w:tcPr>
          <w:p w14:paraId="13CCB22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23,296,435</w:t>
            </w:r>
          </w:p>
        </w:tc>
        <w:tc>
          <w:tcPr>
            <w:tcW w:w="1492" w:type="dxa"/>
            <w:shd w:val="clear" w:color="auto" w:fill="auto"/>
            <w:noWrap/>
            <w:hideMark/>
          </w:tcPr>
          <w:p w14:paraId="2EDA7DB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F14EA1D"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C898AAE" w14:textId="77777777" w:rsidTr="00C10263">
        <w:trPr>
          <w:trHeight w:val="555"/>
          <w:jc w:val="center"/>
        </w:trPr>
        <w:tc>
          <w:tcPr>
            <w:tcW w:w="307" w:type="dxa"/>
            <w:shd w:val="clear" w:color="000000" w:fill="FFFFFF"/>
            <w:noWrap/>
            <w:hideMark/>
          </w:tcPr>
          <w:p w14:paraId="54880E0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28F228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82C2B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7.3.19</w:t>
            </w:r>
          </w:p>
        </w:tc>
        <w:tc>
          <w:tcPr>
            <w:tcW w:w="3923" w:type="dxa"/>
            <w:gridSpan w:val="3"/>
            <w:shd w:val="clear" w:color="000000" w:fill="FFFFFF"/>
            <w:noWrap/>
            <w:hideMark/>
          </w:tcPr>
          <w:p w14:paraId="618B9A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Huixquilucan.</w:t>
            </w:r>
          </w:p>
        </w:tc>
        <w:tc>
          <w:tcPr>
            <w:tcW w:w="1566" w:type="dxa"/>
            <w:shd w:val="clear" w:color="000000" w:fill="FFFFFF"/>
            <w:noWrap/>
            <w:hideMark/>
          </w:tcPr>
          <w:p w14:paraId="43A647B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22,999,302</w:t>
            </w:r>
          </w:p>
        </w:tc>
        <w:tc>
          <w:tcPr>
            <w:tcW w:w="1492" w:type="dxa"/>
            <w:shd w:val="clear" w:color="auto" w:fill="auto"/>
            <w:noWrap/>
            <w:hideMark/>
          </w:tcPr>
          <w:p w14:paraId="5D1A77D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B73978B"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BDBBBBE" w14:textId="77777777" w:rsidTr="00C10263">
        <w:trPr>
          <w:trHeight w:val="525"/>
          <w:jc w:val="center"/>
        </w:trPr>
        <w:tc>
          <w:tcPr>
            <w:tcW w:w="307" w:type="dxa"/>
            <w:shd w:val="clear" w:color="000000" w:fill="FFFFFF"/>
            <w:noWrap/>
            <w:hideMark/>
          </w:tcPr>
          <w:p w14:paraId="439A379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E5351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D67BDE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7.3.20</w:t>
            </w:r>
          </w:p>
        </w:tc>
        <w:tc>
          <w:tcPr>
            <w:tcW w:w="3923" w:type="dxa"/>
            <w:gridSpan w:val="3"/>
            <w:shd w:val="clear" w:color="000000" w:fill="FFFFFF"/>
            <w:noWrap/>
            <w:hideMark/>
          </w:tcPr>
          <w:p w14:paraId="7FEE2C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Jilotepec.</w:t>
            </w:r>
          </w:p>
        </w:tc>
        <w:tc>
          <w:tcPr>
            <w:tcW w:w="1566" w:type="dxa"/>
            <w:shd w:val="clear" w:color="000000" w:fill="FFFFFF"/>
            <w:noWrap/>
            <w:hideMark/>
          </w:tcPr>
          <w:p w14:paraId="6F2FF5E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15,342,500</w:t>
            </w:r>
          </w:p>
        </w:tc>
        <w:tc>
          <w:tcPr>
            <w:tcW w:w="1492" w:type="dxa"/>
            <w:shd w:val="clear" w:color="auto" w:fill="auto"/>
            <w:noWrap/>
            <w:hideMark/>
          </w:tcPr>
          <w:p w14:paraId="1DFAD46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AB42427"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3E7A1CA" w14:textId="77777777" w:rsidTr="00C10263">
        <w:trPr>
          <w:trHeight w:val="510"/>
          <w:jc w:val="center"/>
        </w:trPr>
        <w:tc>
          <w:tcPr>
            <w:tcW w:w="307" w:type="dxa"/>
            <w:shd w:val="clear" w:color="000000" w:fill="FFFFFF"/>
            <w:noWrap/>
            <w:hideMark/>
          </w:tcPr>
          <w:p w14:paraId="27BE3E1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861D36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BF8BD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7.3.21</w:t>
            </w:r>
          </w:p>
        </w:tc>
        <w:tc>
          <w:tcPr>
            <w:tcW w:w="3923" w:type="dxa"/>
            <w:gridSpan w:val="3"/>
            <w:shd w:val="clear" w:color="000000" w:fill="FFFFFF"/>
            <w:noWrap/>
            <w:hideMark/>
          </w:tcPr>
          <w:p w14:paraId="409882C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Tianguistenco.</w:t>
            </w:r>
          </w:p>
        </w:tc>
        <w:tc>
          <w:tcPr>
            <w:tcW w:w="1566" w:type="dxa"/>
            <w:shd w:val="clear" w:color="000000" w:fill="FFFFFF"/>
            <w:noWrap/>
            <w:hideMark/>
          </w:tcPr>
          <w:p w14:paraId="35DDEED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21,288,975</w:t>
            </w:r>
          </w:p>
        </w:tc>
        <w:tc>
          <w:tcPr>
            <w:tcW w:w="1492" w:type="dxa"/>
            <w:shd w:val="clear" w:color="auto" w:fill="auto"/>
            <w:noWrap/>
            <w:hideMark/>
          </w:tcPr>
          <w:p w14:paraId="1E1FE90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93B52E3"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6495512" w14:textId="77777777" w:rsidTr="00C10263">
        <w:trPr>
          <w:trHeight w:val="570"/>
          <w:jc w:val="center"/>
        </w:trPr>
        <w:tc>
          <w:tcPr>
            <w:tcW w:w="307" w:type="dxa"/>
            <w:shd w:val="clear" w:color="000000" w:fill="FFFFFF"/>
            <w:noWrap/>
            <w:hideMark/>
          </w:tcPr>
          <w:p w14:paraId="6836754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C3D4B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68B337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7.3.22</w:t>
            </w:r>
          </w:p>
        </w:tc>
        <w:tc>
          <w:tcPr>
            <w:tcW w:w="3923" w:type="dxa"/>
            <w:gridSpan w:val="3"/>
            <w:shd w:val="clear" w:color="000000" w:fill="FFFFFF"/>
            <w:noWrap/>
            <w:hideMark/>
          </w:tcPr>
          <w:p w14:paraId="4542E74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Mexiquense de la Infraestructura Física Educativa.</w:t>
            </w:r>
          </w:p>
        </w:tc>
        <w:tc>
          <w:tcPr>
            <w:tcW w:w="1566" w:type="dxa"/>
            <w:shd w:val="clear" w:color="000000" w:fill="FFFFFF"/>
            <w:noWrap/>
            <w:hideMark/>
          </w:tcPr>
          <w:p w14:paraId="32AF505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5,885,231</w:t>
            </w:r>
          </w:p>
        </w:tc>
        <w:tc>
          <w:tcPr>
            <w:tcW w:w="1492" w:type="dxa"/>
            <w:shd w:val="clear" w:color="auto" w:fill="auto"/>
            <w:noWrap/>
            <w:hideMark/>
          </w:tcPr>
          <w:p w14:paraId="0AAA8A6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B8D497E"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54CADB7" w14:textId="77777777" w:rsidTr="00C10263">
        <w:trPr>
          <w:trHeight w:val="375"/>
          <w:jc w:val="center"/>
        </w:trPr>
        <w:tc>
          <w:tcPr>
            <w:tcW w:w="307" w:type="dxa"/>
            <w:shd w:val="clear" w:color="000000" w:fill="FFFFFF"/>
            <w:noWrap/>
            <w:hideMark/>
          </w:tcPr>
          <w:p w14:paraId="4651556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9461D4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1DEAE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7.3.23</w:t>
            </w:r>
          </w:p>
        </w:tc>
        <w:tc>
          <w:tcPr>
            <w:tcW w:w="3923" w:type="dxa"/>
            <w:gridSpan w:val="3"/>
            <w:shd w:val="clear" w:color="000000" w:fill="FFFFFF"/>
            <w:noWrap/>
            <w:hideMark/>
          </w:tcPr>
          <w:p w14:paraId="66C6E5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Chalco.</w:t>
            </w:r>
          </w:p>
        </w:tc>
        <w:tc>
          <w:tcPr>
            <w:tcW w:w="1566" w:type="dxa"/>
            <w:shd w:val="clear" w:color="000000" w:fill="FFFFFF"/>
            <w:noWrap/>
            <w:hideMark/>
          </w:tcPr>
          <w:p w14:paraId="77636BC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12,300,000</w:t>
            </w:r>
          </w:p>
        </w:tc>
        <w:tc>
          <w:tcPr>
            <w:tcW w:w="1492" w:type="dxa"/>
            <w:shd w:val="clear" w:color="auto" w:fill="auto"/>
            <w:noWrap/>
            <w:hideMark/>
          </w:tcPr>
          <w:p w14:paraId="3C2BD1B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81A5570"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F7F1E5A" w14:textId="77777777" w:rsidTr="00C10263">
        <w:trPr>
          <w:trHeight w:val="570"/>
          <w:jc w:val="center"/>
        </w:trPr>
        <w:tc>
          <w:tcPr>
            <w:tcW w:w="307" w:type="dxa"/>
            <w:shd w:val="clear" w:color="000000" w:fill="FFFFFF"/>
            <w:noWrap/>
            <w:hideMark/>
          </w:tcPr>
          <w:p w14:paraId="09B0FB0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659C1D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1137B2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7.3.24</w:t>
            </w:r>
          </w:p>
        </w:tc>
        <w:tc>
          <w:tcPr>
            <w:tcW w:w="3923" w:type="dxa"/>
            <w:gridSpan w:val="3"/>
            <w:shd w:val="clear" w:color="000000" w:fill="FFFFFF"/>
            <w:noWrap/>
            <w:hideMark/>
          </w:tcPr>
          <w:p w14:paraId="5369461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Jocotitlán.</w:t>
            </w:r>
          </w:p>
        </w:tc>
        <w:tc>
          <w:tcPr>
            <w:tcW w:w="1566" w:type="dxa"/>
            <w:shd w:val="clear" w:color="000000" w:fill="FFFFFF"/>
            <w:noWrap/>
            <w:hideMark/>
          </w:tcPr>
          <w:p w14:paraId="08B1B00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24,246,062</w:t>
            </w:r>
          </w:p>
        </w:tc>
        <w:tc>
          <w:tcPr>
            <w:tcW w:w="1492" w:type="dxa"/>
            <w:shd w:val="clear" w:color="auto" w:fill="auto"/>
            <w:noWrap/>
            <w:hideMark/>
          </w:tcPr>
          <w:p w14:paraId="23BBAD3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1F06C7E"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A07CB62" w14:textId="77777777" w:rsidTr="00C10263">
        <w:trPr>
          <w:trHeight w:val="570"/>
          <w:jc w:val="center"/>
        </w:trPr>
        <w:tc>
          <w:tcPr>
            <w:tcW w:w="307" w:type="dxa"/>
            <w:shd w:val="clear" w:color="000000" w:fill="FFFFFF"/>
            <w:noWrap/>
            <w:hideMark/>
          </w:tcPr>
          <w:p w14:paraId="3ABC30D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0AAB99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09FB2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7.3.25</w:t>
            </w:r>
          </w:p>
        </w:tc>
        <w:tc>
          <w:tcPr>
            <w:tcW w:w="3923" w:type="dxa"/>
            <w:gridSpan w:val="3"/>
            <w:shd w:val="clear" w:color="000000" w:fill="FFFFFF"/>
            <w:noWrap/>
            <w:hideMark/>
          </w:tcPr>
          <w:p w14:paraId="598F92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Colegio de Educación Profesional Técnica del Estado de México.</w:t>
            </w:r>
          </w:p>
        </w:tc>
        <w:tc>
          <w:tcPr>
            <w:tcW w:w="1566" w:type="dxa"/>
            <w:shd w:val="clear" w:color="000000" w:fill="FFFFFF"/>
            <w:noWrap/>
            <w:hideMark/>
          </w:tcPr>
          <w:p w14:paraId="73F99BF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203,574,225</w:t>
            </w:r>
          </w:p>
        </w:tc>
        <w:tc>
          <w:tcPr>
            <w:tcW w:w="1492" w:type="dxa"/>
            <w:shd w:val="clear" w:color="auto" w:fill="auto"/>
            <w:noWrap/>
            <w:hideMark/>
          </w:tcPr>
          <w:p w14:paraId="49E1D66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7EC29AD"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D894C84" w14:textId="77777777" w:rsidTr="00C10263">
        <w:trPr>
          <w:trHeight w:val="570"/>
          <w:jc w:val="center"/>
        </w:trPr>
        <w:tc>
          <w:tcPr>
            <w:tcW w:w="307" w:type="dxa"/>
            <w:shd w:val="clear" w:color="000000" w:fill="FFFFFF"/>
            <w:noWrap/>
            <w:hideMark/>
          </w:tcPr>
          <w:p w14:paraId="58123A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E4A01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82A6F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7.3.26</w:t>
            </w:r>
          </w:p>
        </w:tc>
        <w:tc>
          <w:tcPr>
            <w:tcW w:w="3923" w:type="dxa"/>
            <w:gridSpan w:val="3"/>
            <w:shd w:val="clear" w:color="000000" w:fill="FFFFFF"/>
            <w:noWrap/>
            <w:hideMark/>
          </w:tcPr>
          <w:p w14:paraId="5F07C6E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Valle de Bravo.</w:t>
            </w:r>
          </w:p>
        </w:tc>
        <w:tc>
          <w:tcPr>
            <w:tcW w:w="1566" w:type="dxa"/>
            <w:shd w:val="clear" w:color="000000" w:fill="FFFFFF"/>
            <w:noWrap/>
            <w:hideMark/>
          </w:tcPr>
          <w:p w14:paraId="4865631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20,000,000</w:t>
            </w:r>
          </w:p>
        </w:tc>
        <w:tc>
          <w:tcPr>
            <w:tcW w:w="1492" w:type="dxa"/>
            <w:shd w:val="clear" w:color="auto" w:fill="auto"/>
            <w:noWrap/>
            <w:hideMark/>
          </w:tcPr>
          <w:p w14:paraId="7497D39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F9CCD9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E15DDF9" w14:textId="77777777" w:rsidTr="00C10263">
        <w:trPr>
          <w:trHeight w:val="495"/>
          <w:jc w:val="center"/>
        </w:trPr>
        <w:tc>
          <w:tcPr>
            <w:tcW w:w="307" w:type="dxa"/>
            <w:shd w:val="clear" w:color="000000" w:fill="FFFFFF"/>
            <w:noWrap/>
            <w:hideMark/>
          </w:tcPr>
          <w:p w14:paraId="5749324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E19BA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C0E3D1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7.3.27</w:t>
            </w:r>
          </w:p>
        </w:tc>
        <w:tc>
          <w:tcPr>
            <w:tcW w:w="3923" w:type="dxa"/>
            <w:gridSpan w:val="3"/>
            <w:shd w:val="clear" w:color="000000" w:fill="FFFFFF"/>
            <w:noWrap/>
            <w:hideMark/>
          </w:tcPr>
          <w:p w14:paraId="394AC95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Ixtapaluca.</w:t>
            </w:r>
          </w:p>
        </w:tc>
        <w:tc>
          <w:tcPr>
            <w:tcW w:w="1566" w:type="dxa"/>
            <w:shd w:val="clear" w:color="000000" w:fill="FFFFFF"/>
            <w:noWrap/>
            <w:hideMark/>
          </w:tcPr>
          <w:p w14:paraId="051ADF9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19,364,217</w:t>
            </w:r>
          </w:p>
        </w:tc>
        <w:tc>
          <w:tcPr>
            <w:tcW w:w="1492" w:type="dxa"/>
            <w:shd w:val="clear" w:color="auto" w:fill="auto"/>
            <w:noWrap/>
            <w:hideMark/>
          </w:tcPr>
          <w:p w14:paraId="7300FE5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82A694A"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42A7D48" w14:textId="77777777" w:rsidTr="00C10263">
        <w:trPr>
          <w:trHeight w:val="495"/>
          <w:jc w:val="center"/>
        </w:trPr>
        <w:tc>
          <w:tcPr>
            <w:tcW w:w="307" w:type="dxa"/>
            <w:shd w:val="clear" w:color="000000" w:fill="FFFFFF"/>
            <w:noWrap/>
            <w:hideMark/>
          </w:tcPr>
          <w:p w14:paraId="07F18C1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89871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B46195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7.3.28</w:t>
            </w:r>
          </w:p>
        </w:tc>
        <w:tc>
          <w:tcPr>
            <w:tcW w:w="3923" w:type="dxa"/>
            <w:gridSpan w:val="3"/>
            <w:shd w:val="clear" w:color="000000" w:fill="FFFFFF"/>
            <w:noWrap/>
            <w:hideMark/>
          </w:tcPr>
          <w:p w14:paraId="7B478F3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Villa Guerrero.</w:t>
            </w:r>
          </w:p>
        </w:tc>
        <w:tc>
          <w:tcPr>
            <w:tcW w:w="1566" w:type="dxa"/>
            <w:shd w:val="clear" w:color="000000" w:fill="FFFFFF"/>
            <w:noWrap/>
            <w:hideMark/>
          </w:tcPr>
          <w:p w14:paraId="034D7AF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20,380,600</w:t>
            </w:r>
          </w:p>
        </w:tc>
        <w:tc>
          <w:tcPr>
            <w:tcW w:w="1492" w:type="dxa"/>
            <w:shd w:val="clear" w:color="auto" w:fill="auto"/>
            <w:noWrap/>
            <w:hideMark/>
          </w:tcPr>
          <w:p w14:paraId="4E72E45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8AEC78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E250BB5" w14:textId="77777777" w:rsidTr="00C10263">
        <w:trPr>
          <w:trHeight w:val="270"/>
          <w:jc w:val="center"/>
        </w:trPr>
        <w:tc>
          <w:tcPr>
            <w:tcW w:w="307" w:type="dxa"/>
            <w:shd w:val="clear" w:color="000000" w:fill="FFFFFF"/>
            <w:noWrap/>
            <w:hideMark/>
          </w:tcPr>
          <w:p w14:paraId="7D1526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F6638D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F9FFF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7.3.29</w:t>
            </w:r>
          </w:p>
        </w:tc>
        <w:tc>
          <w:tcPr>
            <w:tcW w:w="3923" w:type="dxa"/>
            <w:gridSpan w:val="3"/>
            <w:shd w:val="clear" w:color="000000" w:fill="FFFFFF"/>
            <w:noWrap/>
            <w:hideMark/>
          </w:tcPr>
          <w:p w14:paraId="3819B87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Consejo Mexiquense de Ciencia y Tecnología.</w:t>
            </w:r>
          </w:p>
        </w:tc>
        <w:tc>
          <w:tcPr>
            <w:tcW w:w="1566" w:type="dxa"/>
            <w:shd w:val="clear" w:color="000000" w:fill="FFFFFF"/>
            <w:noWrap/>
            <w:hideMark/>
          </w:tcPr>
          <w:p w14:paraId="4DC603C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468,696,957</w:t>
            </w:r>
          </w:p>
        </w:tc>
        <w:tc>
          <w:tcPr>
            <w:tcW w:w="1492" w:type="dxa"/>
            <w:shd w:val="clear" w:color="auto" w:fill="auto"/>
            <w:noWrap/>
            <w:hideMark/>
          </w:tcPr>
          <w:p w14:paraId="408C71C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6F63390"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AEB0B1A" w14:textId="77777777" w:rsidTr="00C10263">
        <w:trPr>
          <w:trHeight w:val="495"/>
          <w:jc w:val="center"/>
        </w:trPr>
        <w:tc>
          <w:tcPr>
            <w:tcW w:w="307" w:type="dxa"/>
            <w:shd w:val="clear" w:color="000000" w:fill="FFFFFF"/>
            <w:noWrap/>
            <w:hideMark/>
          </w:tcPr>
          <w:p w14:paraId="3E3EE3E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DBA54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04BCA6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7.3.30</w:t>
            </w:r>
          </w:p>
        </w:tc>
        <w:tc>
          <w:tcPr>
            <w:tcW w:w="3923" w:type="dxa"/>
            <w:gridSpan w:val="3"/>
            <w:shd w:val="clear" w:color="000000" w:fill="FFFFFF"/>
            <w:noWrap/>
            <w:hideMark/>
          </w:tcPr>
          <w:p w14:paraId="36A05E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San Felipe del Progreso.</w:t>
            </w:r>
          </w:p>
        </w:tc>
        <w:tc>
          <w:tcPr>
            <w:tcW w:w="1566" w:type="dxa"/>
            <w:shd w:val="clear" w:color="000000" w:fill="FFFFFF"/>
            <w:noWrap/>
            <w:hideMark/>
          </w:tcPr>
          <w:p w14:paraId="415A38F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18,000,000</w:t>
            </w:r>
          </w:p>
        </w:tc>
        <w:tc>
          <w:tcPr>
            <w:tcW w:w="1492" w:type="dxa"/>
            <w:shd w:val="clear" w:color="auto" w:fill="auto"/>
            <w:noWrap/>
            <w:hideMark/>
          </w:tcPr>
          <w:p w14:paraId="3D47978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E8DA47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4CC5795" w14:textId="77777777" w:rsidTr="00C10263">
        <w:trPr>
          <w:trHeight w:val="495"/>
          <w:jc w:val="center"/>
        </w:trPr>
        <w:tc>
          <w:tcPr>
            <w:tcW w:w="307" w:type="dxa"/>
            <w:shd w:val="clear" w:color="000000" w:fill="FFFFFF"/>
            <w:noWrap/>
            <w:hideMark/>
          </w:tcPr>
          <w:p w14:paraId="46159B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60783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953937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7.3.31</w:t>
            </w:r>
          </w:p>
        </w:tc>
        <w:tc>
          <w:tcPr>
            <w:tcW w:w="3923" w:type="dxa"/>
            <w:gridSpan w:val="3"/>
            <w:shd w:val="clear" w:color="000000" w:fill="FFFFFF"/>
            <w:noWrap/>
            <w:hideMark/>
          </w:tcPr>
          <w:p w14:paraId="064DDD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Chimalhuacán.</w:t>
            </w:r>
          </w:p>
        </w:tc>
        <w:tc>
          <w:tcPr>
            <w:tcW w:w="1566" w:type="dxa"/>
            <w:shd w:val="clear" w:color="000000" w:fill="FFFFFF"/>
            <w:noWrap/>
            <w:hideMark/>
          </w:tcPr>
          <w:p w14:paraId="7441098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32,764,997</w:t>
            </w:r>
          </w:p>
        </w:tc>
        <w:tc>
          <w:tcPr>
            <w:tcW w:w="1492" w:type="dxa"/>
            <w:shd w:val="clear" w:color="auto" w:fill="auto"/>
            <w:noWrap/>
            <w:hideMark/>
          </w:tcPr>
          <w:p w14:paraId="7E18819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D31A67A"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E819E4D" w14:textId="77777777" w:rsidTr="00C10263">
        <w:trPr>
          <w:trHeight w:val="360"/>
          <w:jc w:val="center"/>
        </w:trPr>
        <w:tc>
          <w:tcPr>
            <w:tcW w:w="307" w:type="dxa"/>
            <w:shd w:val="clear" w:color="000000" w:fill="FFFFFF"/>
            <w:noWrap/>
            <w:hideMark/>
          </w:tcPr>
          <w:p w14:paraId="6E48D0F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A8635E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9CFB1F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7.3.32</w:t>
            </w:r>
          </w:p>
        </w:tc>
        <w:tc>
          <w:tcPr>
            <w:tcW w:w="3923" w:type="dxa"/>
            <w:gridSpan w:val="3"/>
            <w:shd w:val="clear" w:color="000000" w:fill="FFFFFF"/>
            <w:noWrap/>
            <w:hideMark/>
          </w:tcPr>
          <w:p w14:paraId="7FEB4E1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Estatal del Valle de Ecatepec.</w:t>
            </w:r>
          </w:p>
        </w:tc>
        <w:tc>
          <w:tcPr>
            <w:tcW w:w="1566" w:type="dxa"/>
            <w:shd w:val="clear" w:color="000000" w:fill="FFFFFF"/>
            <w:noWrap/>
            <w:hideMark/>
          </w:tcPr>
          <w:p w14:paraId="011F776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38,940,188</w:t>
            </w:r>
          </w:p>
        </w:tc>
        <w:tc>
          <w:tcPr>
            <w:tcW w:w="1492" w:type="dxa"/>
            <w:shd w:val="clear" w:color="auto" w:fill="auto"/>
            <w:noWrap/>
            <w:hideMark/>
          </w:tcPr>
          <w:p w14:paraId="2F34D3A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8A9A09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6AE244E" w14:textId="77777777" w:rsidTr="00C10263">
        <w:trPr>
          <w:trHeight w:val="360"/>
          <w:jc w:val="center"/>
        </w:trPr>
        <w:tc>
          <w:tcPr>
            <w:tcW w:w="307" w:type="dxa"/>
            <w:shd w:val="clear" w:color="000000" w:fill="FFFFFF"/>
            <w:noWrap/>
            <w:hideMark/>
          </w:tcPr>
          <w:p w14:paraId="0DA2B3F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5DF17E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AA48E1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7.3.33</w:t>
            </w:r>
          </w:p>
        </w:tc>
        <w:tc>
          <w:tcPr>
            <w:tcW w:w="3923" w:type="dxa"/>
            <w:gridSpan w:val="3"/>
            <w:shd w:val="clear" w:color="000000" w:fill="FFFFFF"/>
            <w:noWrap/>
            <w:hideMark/>
          </w:tcPr>
          <w:p w14:paraId="25ED249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Tecnológica del Valle de Toluca.</w:t>
            </w:r>
          </w:p>
        </w:tc>
        <w:tc>
          <w:tcPr>
            <w:tcW w:w="1566" w:type="dxa"/>
            <w:shd w:val="clear" w:color="000000" w:fill="FFFFFF"/>
            <w:noWrap/>
            <w:hideMark/>
          </w:tcPr>
          <w:p w14:paraId="15A25D5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33,720,220</w:t>
            </w:r>
          </w:p>
        </w:tc>
        <w:tc>
          <w:tcPr>
            <w:tcW w:w="1492" w:type="dxa"/>
            <w:shd w:val="clear" w:color="auto" w:fill="auto"/>
            <w:noWrap/>
            <w:hideMark/>
          </w:tcPr>
          <w:p w14:paraId="10E3EFA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36DCF1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AF48DE8" w14:textId="77777777" w:rsidTr="00C10263">
        <w:trPr>
          <w:trHeight w:val="360"/>
          <w:jc w:val="center"/>
        </w:trPr>
        <w:tc>
          <w:tcPr>
            <w:tcW w:w="307" w:type="dxa"/>
            <w:shd w:val="clear" w:color="000000" w:fill="FFFFFF"/>
            <w:noWrap/>
            <w:hideMark/>
          </w:tcPr>
          <w:p w14:paraId="11B3AFB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56897D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895A1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7.3.34</w:t>
            </w:r>
          </w:p>
        </w:tc>
        <w:tc>
          <w:tcPr>
            <w:tcW w:w="3923" w:type="dxa"/>
            <w:gridSpan w:val="3"/>
            <w:shd w:val="clear" w:color="000000" w:fill="FFFFFF"/>
            <w:noWrap/>
            <w:hideMark/>
          </w:tcPr>
          <w:p w14:paraId="6F6133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Intercultural del Estado de México.</w:t>
            </w:r>
          </w:p>
        </w:tc>
        <w:tc>
          <w:tcPr>
            <w:tcW w:w="1566" w:type="dxa"/>
            <w:shd w:val="clear" w:color="000000" w:fill="FFFFFF"/>
            <w:noWrap/>
            <w:hideMark/>
          </w:tcPr>
          <w:p w14:paraId="7F0DB8F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6,311,094</w:t>
            </w:r>
          </w:p>
        </w:tc>
        <w:tc>
          <w:tcPr>
            <w:tcW w:w="1492" w:type="dxa"/>
            <w:shd w:val="clear" w:color="auto" w:fill="auto"/>
            <w:noWrap/>
            <w:hideMark/>
          </w:tcPr>
          <w:p w14:paraId="4C7E704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9A6B182"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30351A7" w14:textId="77777777" w:rsidTr="00C10263">
        <w:trPr>
          <w:trHeight w:val="360"/>
          <w:jc w:val="center"/>
        </w:trPr>
        <w:tc>
          <w:tcPr>
            <w:tcW w:w="307" w:type="dxa"/>
            <w:shd w:val="clear" w:color="000000" w:fill="FFFFFF"/>
            <w:noWrap/>
            <w:hideMark/>
          </w:tcPr>
          <w:p w14:paraId="12F4FAA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B4014B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467474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7.3.35</w:t>
            </w:r>
          </w:p>
        </w:tc>
        <w:tc>
          <w:tcPr>
            <w:tcW w:w="3923" w:type="dxa"/>
            <w:gridSpan w:val="3"/>
            <w:shd w:val="clear" w:color="000000" w:fill="FFFFFF"/>
            <w:noWrap/>
            <w:hideMark/>
          </w:tcPr>
          <w:p w14:paraId="492591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del Valle de México.</w:t>
            </w:r>
          </w:p>
        </w:tc>
        <w:tc>
          <w:tcPr>
            <w:tcW w:w="1566" w:type="dxa"/>
            <w:shd w:val="clear" w:color="000000" w:fill="FFFFFF"/>
            <w:noWrap/>
            <w:hideMark/>
          </w:tcPr>
          <w:p w14:paraId="41407D1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43,468,646</w:t>
            </w:r>
          </w:p>
        </w:tc>
        <w:tc>
          <w:tcPr>
            <w:tcW w:w="1492" w:type="dxa"/>
            <w:shd w:val="clear" w:color="auto" w:fill="auto"/>
            <w:noWrap/>
            <w:hideMark/>
          </w:tcPr>
          <w:p w14:paraId="620C99B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872466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40DDF43" w14:textId="77777777" w:rsidTr="00C10263">
        <w:trPr>
          <w:trHeight w:val="360"/>
          <w:jc w:val="center"/>
        </w:trPr>
        <w:tc>
          <w:tcPr>
            <w:tcW w:w="307" w:type="dxa"/>
            <w:shd w:val="clear" w:color="000000" w:fill="FFFFFF"/>
            <w:noWrap/>
            <w:hideMark/>
          </w:tcPr>
          <w:p w14:paraId="6160600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950461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79E4C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7.3.36</w:t>
            </w:r>
          </w:p>
        </w:tc>
        <w:tc>
          <w:tcPr>
            <w:tcW w:w="3923" w:type="dxa"/>
            <w:gridSpan w:val="3"/>
            <w:shd w:val="clear" w:color="000000" w:fill="FFFFFF"/>
            <w:noWrap/>
            <w:hideMark/>
          </w:tcPr>
          <w:p w14:paraId="7EF0850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del Valle de Toluca.</w:t>
            </w:r>
          </w:p>
        </w:tc>
        <w:tc>
          <w:tcPr>
            <w:tcW w:w="1566" w:type="dxa"/>
            <w:shd w:val="clear" w:color="000000" w:fill="FFFFFF"/>
            <w:noWrap/>
            <w:hideMark/>
          </w:tcPr>
          <w:p w14:paraId="6C2B506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38,345,669</w:t>
            </w:r>
          </w:p>
        </w:tc>
        <w:tc>
          <w:tcPr>
            <w:tcW w:w="1492" w:type="dxa"/>
            <w:shd w:val="clear" w:color="auto" w:fill="auto"/>
            <w:noWrap/>
            <w:hideMark/>
          </w:tcPr>
          <w:p w14:paraId="54B76AF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B9025FB"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82FB9EC" w14:textId="77777777" w:rsidTr="00C10263">
        <w:trPr>
          <w:trHeight w:val="360"/>
          <w:jc w:val="center"/>
        </w:trPr>
        <w:tc>
          <w:tcPr>
            <w:tcW w:w="307" w:type="dxa"/>
            <w:shd w:val="clear" w:color="000000" w:fill="FFFFFF"/>
            <w:noWrap/>
            <w:hideMark/>
          </w:tcPr>
          <w:p w14:paraId="233AAEF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D57C2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AC8CBF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7.3.37</w:t>
            </w:r>
          </w:p>
        </w:tc>
        <w:tc>
          <w:tcPr>
            <w:tcW w:w="3923" w:type="dxa"/>
            <w:gridSpan w:val="3"/>
            <w:shd w:val="clear" w:color="000000" w:fill="FFFFFF"/>
            <w:noWrap/>
            <w:hideMark/>
          </w:tcPr>
          <w:p w14:paraId="1446B76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Estatal de Energía y Cambio Climático.</w:t>
            </w:r>
          </w:p>
        </w:tc>
        <w:tc>
          <w:tcPr>
            <w:tcW w:w="1566" w:type="dxa"/>
            <w:shd w:val="clear" w:color="000000" w:fill="FFFFFF"/>
            <w:noWrap/>
            <w:hideMark/>
          </w:tcPr>
          <w:p w14:paraId="77F7968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055BEC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48407E6"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F732D40" w14:textId="77777777" w:rsidTr="00C10263">
        <w:trPr>
          <w:trHeight w:val="330"/>
          <w:jc w:val="center"/>
        </w:trPr>
        <w:tc>
          <w:tcPr>
            <w:tcW w:w="307" w:type="dxa"/>
            <w:shd w:val="clear" w:color="000000" w:fill="FFFFFF"/>
            <w:noWrap/>
            <w:hideMark/>
          </w:tcPr>
          <w:p w14:paraId="59FC9BD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AF3E39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970140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7.3.38</w:t>
            </w:r>
          </w:p>
        </w:tc>
        <w:tc>
          <w:tcPr>
            <w:tcW w:w="3923" w:type="dxa"/>
            <w:gridSpan w:val="3"/>
            <w:shd w:val="clear" w:color="000000" w:fill="FFFFFF"/>
            <w:noWrap/>
            <w:hideMark/>
          </w:tcPr>
          <w:p w14:paraId="2BBDB63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Comisión del Agua del Estado de México.</w:t>
            </w:r>
          </w:p>
        </w:tc>
        <w:tc>
          <w:tcPr>
            <w:tcW w:w="1566" w:type="dxa"/>
            <w:shd w:val="clear" w:color="000000" w:fill="FFFFFF"/>
            <w:noWrap/>
            <w:hideMark/>
          </w:tcPr>
          <w:p w14:paraId="280391F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C0305C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B0239E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3E39FD7" w14:textId="77777777" w:rsidTr="00C10263">
        <w:trPr>
          <w:trHeight w:val="810"/>
          <w:jc w:val="center"/>
        </w:trPr>
        <w:tc>
          <w:tcPr>
            <w:tcW w:w="307" w:type="dxa"/>
            <w:shd w:val="clear" w:color="000000" w:fill="FFFFFF"/>
            <w:noWrap/>
            <w:hideMark/>
          </w:tcPr>
          <w:p w14:paraId="309BD92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5E66C0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3CB57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7.3.39</w:t>
            </w:r>
          </w:p>
        </w:tc>
        <w:tc>
          <w:tcPr>
            <w:tcW w:w="3923" w:type="dxa"/>
            <w:gridSpan w:val="3"/>
            <w:shd w:val="clear" w:color="000000" w:fill="FFFFFF"/>
            <w:noWrap/>
            <w:hideMark/>
          </w:tcPr>
          <w:p w14:paraId="3AFA1EC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Investigación y Capacitación Agropecuaria, Acuícola y Forestal del Estado de México.</w:t>
            </w:r>
          </w:p>
        </w:tc>
        <w:tc>
          <w:tcPr>
            <w:tcW w:w="1566" w:type="dxa"/>
            <w:shd w:val="clear" w:color="000000" w:fill="FFFFFF"/>
            <w:noWrap/>
            <w:hideMark/>
          </w:tcPr>
          <w:p w14:paraId="287CA5A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2,470,243</w:t>
            </w:r>
          </w:p>
        </w:tc>
        <w:tc>
          <w:tcPr>
            <w:tcW w:w="1492" w:type="dxa"/>
            <w:shd w:val="clear" w:color="auto" w:fill="auto"/>
            <w:noWrap/>
            <w:hideMark/>
          </w:tcPr>
          <w:p w14:paraId="50EB787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47A5389"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C5EEBEE" w14:textId="77777777" w:rsidTr="00C10263">
        <w:trPr>
          <w:trHeight w:val="300"/>
          <w:jc w:val="center"/>
        </w:trPr>
        <w:tc>
          <w:tcPr>
            <w:tcW w:w="307" w:type="dxa"/>
            <w:shd w:val="clear" w:color="000000" w:fill="FFFFFF"/>
            <w:noWrap/>
            <w:hideMark/>
          </w:tcPr>
          <w:p w14:paraId="1E77B25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10115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19C4F6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7.3.40</w:t>
            </w:r>
          </w:p>
        </w:tc>
        <w:tc>
          <w:tcPr>
            <w:tcW w:w="3923" w:type="dxa"/>
            <w:gridSpan w:val="3"/>
            <w:shd w:val="clear" w:color="000000" w:fill="FFFFFF"/>
            <w:noWrap/>
            <w:hideMark/>
          </w:tcPr>
          <w:p w14:paraId="749EB6B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Protectora de Bosques del Estado de México.</w:t>
            </w:r>
          </w:p>
        </w:tc>
        <w:tc>
          <w:tcPr>
            <w:tcW w:w="1566" w:type="dxa"/>
            <w:shd w:val="clear" w:color="000000" w:fill="FFFFFF"/>
            <w:noWrap/>
            <w:hideMark/>
          </w:tcPr>
          <w:p w14:paraId="07D4B9A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119,275,493</w:t>
            </w:r>
          </w:p>
        </w:tc>
        <w:tc>
          <w:tcPr>
            <w:tcW w:w="1492" w:type="dxa"/>
            <w:shd w:val="clear" w:color="auto" w:fill="auto"/>
            <w:noWrap/>
            <w:hideMark/>
          </w:tcPr>
          <w:p w14:paraId="06E37C5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024BC76"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7928796" w14:textId="77777777" w:rsidTr="00C10263">
        <w:trPr>
          <w:trHeight w:val="495"/>
          <w:jc w:val="center"/>
        </w:trPr>
        <w:tc>
          <w:tcPr>
            <w:tcW w:w="307" w:type="dxa"/>
            <w:shd w:val="clear" w:color="000000" w:fill="FFFFFF"/>
            <w:noWrap/>
            <w:hideMark/>
          </w:tcPr>
          <w:p w14:paraId="608E0D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4A26A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5CCE9F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7.3.41</w:t>
            </w:r>
          </w:p>
        </w:tc>
        <w:tc>
          <w:tcPr>
            <w:tcW w:w="3923" w:type="dxa"/>
            <w:gridSpan w:val="3"/>
            <w:shd w:val="clear" w:color="000000" w:fill="FFFFFF"/>
            <w:noWrap/>
            <w:hideMark/>
          </w:tcPr>
          <w:p w14:paraId="413995D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Fomento Minero y Estudios Geológicos del Estado de México.</w:t>
            </w:r>
          </w:p>
        </w:tc>
        <w:tc>
          <w:tcPr>
            <w:tcW w:w="1566" w:type="dxa"/>
            <w:shd w:val="clear" w:color="000000" w:fill="FFFFFF"/>
            <w:noWrap/>
            <w:hideMark/>
          </w:tcPr>
          <w:p w14:paraId="5936D19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77,000</w:t>
            </w:r>
          </w:p>
        </w:tc>
        <w:tc>
          <w:tcPr>
            <w:tcW w:w="1492" w:type="dxa"/>
            <w:shd w:val="clear" w:color="auto" w:fill="auto"/>
            <w:noWrap/>
            <w:hideMark/>
          </w:tcPr>
          <w:p w14:paraId="27128DC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DD6E16B"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36FBAFC" w14:textId="77777777" w:rsidTr="00C10263">
        <w:trPr>
          <w:trHeight w:val="255"/>
          <w:jc w:val="center"/>
        </w:trPr>
        <w:tc>
          <w:tcPr>
            <w:tcW w:w="307" w:type="dxa"/>
            <w:shd w:val="clear" w:color="000000" w:fill="FFFFFF"/>
            <w:noWrap/>
            <w:hideMark/>
          </w:tcPr>
          <w:p w14:paraId="1B6844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A161FF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DD5A8D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7.3.42</w:t>
            </w:r>
          </w:p>
        </w:tc>
        <w:tc>
          <w:tcPr>
            <w:tcW w:w="3923" w:type="dxa"/>
            <w:gridSpan w:val="3"/>
            <w:shd w:val="clear" w:color="000000" w:fill="FFFFFF"/>
            <w:noWrap/>
            <w:hideMark/>
          </w:tcPr>
          <w:p w14:paraId="58BC077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Mexiquense del Emprendedor.</w:t>
            </w:r>
          </w:p>
        </w:tc>
        <w:tc>
          <w:tcPr>
            <w:tcW w:w="1566" w:type="dxa"/>
            <w:shd w:val="clear" w:color="000000" w:fill="FFFFFF"/>
            <w:noWrap/>
            <w:hideMark/>
          </w:tcPr>
          <w:p w14:paraId="407750A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3C5CCF4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F88F018"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C0DD14B" w14:textId="77777777" w:rsidTr="00C10263">
        <w:trPr>
          <w:trHeight w:val="255"/>
          <w:jc w:val="center"/>
        </w:trPr>
        <w:tc>
          <w:tcPr>
            <w:tcW w:w="307" w:type="dxa"/>
            <w:shd w:val="clear" w:color="000000" w:fill="FFFFFF"/>
            <w:noWrap/>
            <w:hideMark/>
          </w:tcPr>
          <w:p w14:paraId="00652F7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4DA9A8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16642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7.3.43</w:t>
            </w:r>
          </w:p>
        </w:tc>
        <w:tc>
          <w:tcPr>
            <w:tcW w:w="3923" w:type="dxa"/>
            <w:gridSpan w:val="3"/>
            <w:shd w:val="clear" w:color="000000" w:fill="FFFFFF"/>
            <w:noWrap/>
            <w:hideMark/>
          </w:tcPr>
          <w:p w14:paraId="1B11DF2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Junta de Caminos del Estado de México.</w:t>
            </w:r>
          </w:p>
        </w:tc>
        <w:tc>
          <w:tcPr>
            <w:tcW w:w="1566" w:type="dxa"/>
            <w:shd w:val="clear" w:color="000000" w:fill="FFFFFF"/>
            <w:noWrap/>
            <w:hideMark/>
          </w:tcPr>
          <w:p w14:paraId="17A9921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F55359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2F4FFF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13B27E5" w14:textId="77777777" w:rsidTr="00C10263">
        <w:trPr>
          <w:trHeight w:val="570"/>
          <w:jc w:val="center"/>
        </w:trPr>
        <w:tc>
          <w:tcPr>
            <w:tcW w:w="307" w:type="dxa"/>
            <w:shd w:val="clear" w:color="000000" w:fill="FFFFFF"/>
            <w:noWrap/>
            <w:hideMark/>
          </w:tcPr>
          <w:p w14:paraId="69232D8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5962A2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CDBBD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7.3.44</w:t>
            </w:r>
          </w:p>
        </w:tc>
        <w:tc>
          <w:tcPr>
            <w:tcW w:w="3923" w:type="dxa"/>
            <w:gridSpan w:val="3"/>
            <w:shd w:val="clear" w:color="000000" w:fill="FFFFFF"/>
            <w:noWrap/>
            <w:hideMark/>
          </w:tcPr>
          <w:p w14:paraId="4508C02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Sistema de Autopistas, Aeropuertos, Servicios Conexos y Auxiliares del Estado de México.</w:t>
            </w:r>
          </w:p>
        </w:tc>
        <w:tc>
          <w:tcPr>
            <w:tcW w:w="1566" w:type="dxa"/>
            <w:shd w:val="clear" w:color="000000" w:fill="FFFFFF"/>
            <w:noWrap/>
            <w:hideMark/>
          </w:tcPr>
          <w:p w14:paraId="7BC0B9C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BA44C8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917CDB3"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F491E44" w14:textId="77777777" w:rsidTr="00C10263">
        <w:trPr>
          <w:trHeight w:val="555"/>
          <w:jc w:val="center"/>
        </w:trPr>
        <w:tc>
          <w:tcPr>
            <w:tcW w:w="307" w:type="dxa"/>
            <w:shd w:val="clear" w:color="000000" w:fill="FFFFFF"/>
            <w:noWrap/>
            <w:hideMark/>
          </w:tcPr>
          <w:p w14:paraId="557623D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049593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8F0E9E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7.3.45</w:t>
            </w:r>
          </w:p>
        </w:tc>
        <w:tc>
          <w:tcPr>
            <w:tcW w:w="3923" w:type="dxa"/>
            <w:gridSpan w:val="3"/>
            <w:shd w:val="clear" w:color="000000" w:fill="FFFFFF"/>
            <w:noWrap/>
            <w:hideMark/>
          </w:tcPr>
          <w:p w14:paraId="1D490E1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Comisión Estatal de Parques Naturales y de la Fauna.</w:t>
            </w:r>
          </w:p>
        </w:tc>
        <w:tc>
          <w:tcPr>
            <w:tcW w:w="1566" w:type="dxa"/>
            <w:shd w:val="clear" w:color="000000" w:fill="FFFFFF"/>
            <w:noWrap/>
            <w:hideMark/>
          </w:tcPr>
          <w:p w14:paraId="16AF634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38,000,001</w:t>
            </w:r>
          </w:p>
        </w:tc>
        <w:tc>
          <w:tcPr>
            <w:tcW w:w="1492" w:type="dxa"/>
            <w:shd w:val="clear" w:color="auto" w:fill="auto"/>
            <w:noWrap/>
            <w:hideMark/>
          </w:tcPr>
          <w:p w14:paraId="61804E1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241BF00"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50118E8" w14:textId="77777777" w:rsidTr="00C10263">
        <w:trPr>
          <w:trHeight w:val="585"/>
          <w:jc w:val="center"/>
        </w:trPr>
        <w:tc>
          <w:tcPr>
            <w:tcW w:w="307" w:type="dxa"/>
            <w:shd w:val="clear" w:color="000000" w:fill="FFFFFF"/>
            <w:noWrap/>
            <w:hideMark/>
          </w:tcPr>
          <w:p w14:paraId="331B0A8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F70497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1BE50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7.3.46</w:t>
            </w:r>
          </w:p>
        </w:tc>
        <w:tc>
          <w:tcPr>
            <w:tcW w:w="3923" w:type="dxa"/>
            <w:gridSpan w:val="3"/>
            <w:shd w:val="clear" w:color="000000" w:fill="FFFFFF"/>
            <w:noWrap/>
            <w:hideMark/>
          </w:tcPr>
          <w:p w14:paraId="7D2F107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Consejo Estatal para el Desarrollo Integral de los Pueblos Indígenas del Estado de México.</w:t>
            </w:r>
          </w:p>
        </w:tc>
        <w:tc>
          <w:tcPr>
            <w:tcW w:w="1566" w:type="dxa"/>
            <w:shd w:val="clear" w:color="000000" w:fill="FFFFFF"/>
            <w:noWrap/>
            <w:hideMark/>
          </w:tcPr>
          <w:p w14:paraId="11972AA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10,000,000</w:t>
            </w:r>
          </w:p>
        </w:tc>
        <w:tc>
          <w:tcPr>
            <w:tcW w:w="1492" w:type="dxa"/>
            <w:shd w:val="clear" w:color="auto" w:fill="auto"/>
            <w:noWrap/>
            <w:hideMark/>
          </w:tcPr>
          <w:p w14:paraId="6F4B300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27EC966"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E778BE0" w14:textId="77777777" w:rsidTr="00C10263">
        <w:trPr>
          <w:trHeight w:val="315"/>
          <w:jc w:val="center"/>
        </w:trPr>
        <w:tc>
          <w:tcPr>
            <w:tcW w:w="307" w:type="dxa"/>
            <w:shd w:val="clear" w:color="000000" w:fill="FFFFFF"/>
            <w:noWrap/>
            <w:hideMark/>
          </w:tcPr>
          <w:p w14:paraId="562567B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40936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07E428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7.3.47</w:t>
            </w:r>
          </w:p>
        </w:tc>
        <w:tc>
          <w:tcPr>
            <w:tcW w:w="3923" w:type="dxa"/>
            <w:gridSpan w:val="3"/>
            <w:shd w:val="clear" w:color="000000" w:fill="FFFFFF"/>
            <w:noWrap/>
            <w:hideMark/>
          </w:tcPr>
          <w:p w14:paraId="26CAC1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Mexiquense de la Juventud.</w:t>
            </w:r>
          </w:p>
        </w:tc>
        <w:tc>
          <w:tcPr>
            <w:tcW w:w="1566" w:type="dxa"/>
            <w:shd w:val="clear" w:color="000000" w:fill="FFFFFF"/>
            <w:noWrap/>
            <w:hideMark/>
          </w:tcPr>
          <w:p w14:paraId="4B7BCAB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71CDEB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9990592"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57894EE" w14:textId="77777777" w:rsidTr="00C10263">
        <w:trPr>
          <w:trHeight w:val="495"/>
          <w:jc w:val="center"/>
        </w:trPr>
        <w:tc>
          <w:tcPr>
            <w:tcW w:w="307" w:type="dxa"/>
            <w:shd w:val="clear" w:color="000000" w:fill="FFFFFF"/>
            <w:noWrap/>
            <w:hideMark/>
          </w:tcPr>
          <w:p w14:paraId="2B3E086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5D57D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A3DBEF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7.3.48</w:t>
            </w:r>
          </w:p>
        </w:tc>
        <w:tc>
          <w:tcPr>
            <w:tcW w:w="3923" w:type="dxa"/>
            <w:gridSpan w:val="3"/>
            <w:shd w:val="clear" w:color="000000" w:fill="FFFFFF"/>
            <w:noWrap/>
            <w:hideMark/>
          </w:tcPr>
          <w:p w14:paraId="5DD508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Junta de Asistencia Privada del Estado de México.</w:t>
            </w:r>
          </w:p>
        </w:tc>
        <w:tc>
          <w:tcPr>
            <w:tcW w:w="1566" w:type="dxa"/>
            <w:shd w:val="clear" w:color="000000" w:fill="FFFFFF"/>
            <w:noWrap/>
            <w:hideMark/>
          </w:tcPr>
          <w:p w14:paraId="50AFB04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10,800,004</w:t>
            </w:r>
          </w:p>
        </w:tc>
        <w:tc>
          <w:tcPr>
            <w:tcW w:w="1492" w:type="dxa"/>
            <w:shd w:val="clear" w:color="auto" w:fill="auto"/>
            <w:noWrap/>
            <w:hideMark/>
          </w:tcPr>
          <w:p w14:paraId="7F0B813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776915DC"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994512A" w14:textId="77777777" w:rsidTr="00C10263">
        <w:trPr>
          <w:trHeight w:val="495"/>
          <w:jc w:val="center"/>
        </w:trPr>
        <w:tc>
          <w:tcPr>
            <w:tcW w:w="307" w:type="dxa"/>
            <w:shd w:val="clear" w:color="000000" w:fill="FFFFFF"/>
            <w:noWrap/>
            <w:hideMark/>
          </w:tcPr>
          <w:p w14:paraId="4DF6399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A0D1CF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41E17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7.3.49</w:t>
            </w:r>
          </w:p>
        </w:tc>
        <w:tc>
          <w:tcPr>
            <w:tcW w:w="3923" w:type="dxa"/>
            <w:gridSpan w:val="3"/>
            <w:shd w:val="clear" w:color="000000" w:fill="FFFFFF"/>
            <w:noWrap/>
            <w:hideMark/>
          </w:tcPr>
          <w:p w14:paraId="718265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Consejo de Investigación y Evaluación de la Política Social.</w:t>
            </w:r>
          </w:p>
        </w:tc>
        <w:tc>
          <w:tcPr>
            <w:tcW w:w="1566" w:type="dxa"/>
            <w:shd w:val="clear" w:color="000000" w:fill="FFFFFF"/>
            <w:noWrap/>
            <w:hideMark/>
          </w:tcPr>
          <w:p w14:paraId="327A4C1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18C6A08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708D9B2"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B93F731" w14:textId="77777777" w:rsidTr="00C10263">
        <w:trPr>
          <w:trHeight w:val="315"/>
          <w:jc w:val="center"/>
        </w:trPr>
        <w:tc>
          <w:tcPr>
            <w:tcW w:w="307" w:type="dxa"/>
            <w:shd w:val="clear" w:color="000000" w:fill="FFFFFF"/>
            <w:noWrap/>
            <w:hideMark/>
          </w:tcPr>
          <w:p w14:paraId="59FA87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B288D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DBF912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7.3.50</w:t>
            </w:r>
          </w:p>
        </w:tc>
        <w:tc>
          <w:tcPr>
            <w:tcW w:w="3923" w:type="dxa"/>
            <w:gridSpan w:val="3"/>
            <w:shd w:val="clear" w:color="000000" w:fill="FFFFFF"/>
            <w:noWrap/>
            <w:hideMark/>
          </w:tcPr>
          <w:p w14:paraId="192FD1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Salud del Estado de México.</w:t>
            </w:r>
          </w:p>
        </w:tc>
        <w:tc>
          <w:tcPr>
            <w:tcW w:w="1566" w:type="dxa"/>
            <w:shd w:val="clear" w:color="000000" w:fill="FFFFFF"/>
            <w:noWrap/>
            <w:hideMark/>
          </w:tcPr>
          <w:p w14:paraId="5A7B161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380,590,140</w:t>
            </w:r>
          </w:p>
        </w:tc>
        <w:tc>
          <w:tcPr>
            <w:tcW w:w="1492" w:type="dxa"/>
            <w:shd w:val="clear" w:color="auto" w:fill="auto"/>
            <w:noWrap/>
            <w:hideMark/>
          </w:tcPr>
          <w:p w14:paraId="3F0B064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4FDE702"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2FB3FBA" w14:textId="77777777" w:rsidTr="00C10263">
        <w:trPr>
          <w:trHeight w:val="540"/>
          <w:jc w:val="center"/>
        </w:trPr>
        <w:tc>
          <w:tcPr>
            <w:tcW w:w="307" w:type="dxa"/>
            <w:shd w:val="clear" w:color="000000" w:fill="FFFFFF"/>
            <w:noWrap/>
            <w:hideMark/>
          </w:tcPr>
          <w:p w14:paraId="367EE6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3D6BCB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B5F94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7.3.51</w:t>
            </w:r>
          </w:p>
        </w:tc>
        <w:tc>
          <w:tcPr>
            <w:tcW w:w="3923" w:type="dxa"/>
            <w:gridSpan w:val="3"/>
            <w:shd w:val="clear" w:color="000000" w:fill="FFFFFF"/>
            <w:noWrap/>
            <w:hideMark/>
          </w:tcPr>
          <w:p w14:paraId="4CBFDB3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Comisión de Conciliación y Arbitraje Médico del Estado de México.</w:t>
            </w:r>
          </w:p>
        </w:tc>
        <w:tc>
          <w:tcPr>
            <w:tcW w:w="1566" w:type="dxa"/>
            <w:shd w:val="clear" w:color="000000" w:fill="FFFFFF"/>
            <w:noWrap/>
            <w:hideMark/>
          </w:tcPr>
          <w:p w14:paraId="7748B53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3B5E38E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8BA0269"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07A66F7" w14:textId="77777777" w:rsidTr="00C10263">
        <w:trPr>
          <w:trHeight w:val="330"/>
          <w:jc w:val="center"/>
        </w:trPr>
        <w:tc>
          <w:tcPr>
            <w:tcW w:w="307" w:type="dxa"/>
            <w:shd w:val="clear" w:color="000000" w:fill="FFFFFF"/>
            <w:noWrap/>
            <w:hideMark/>
          </w:tcPr>
          <w:p w14:paraId="7BC884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687A37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C96C69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7.3.52</w:t>
            </w:r>
          </w:p>
        </w:tc>
        <w:tc>
          <w:tcPr>
            <w:tcW w:w="3923" w:type="dxa"/>
            <w:gridSpan w:val="3"/>
            <w:shd w:val="clear" w:color="000000" w:fill="FFFFFF"/>
            <w:noWrap/>
            <w:hideMark/>
          </w:tcPr>
          <w:p w14:paraId="2F4DC88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Materno Infantil del Estado de México.</w:t>
            </w:r>
          </w:p>
        </w:tc>
        <w:tc>
          <w:tcPr>
            <w:tcW w:w="1566" w:type="dxa"/>
            <w:shd w:val="clear" w:color="000000" w:fill="FFFFFF"/>
            <w:noWrap/>
            <w:hideMark/>
          </w:tcPr>
          <w:p w14:paraId="5612C0E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50,000,000</w:t>
            </w:r>
          </w:p>
        </w:tc>
        <w:tc>
          <w:tcPr>
            <w:tcW w:w="1492" w:type="dxa"/>
            <w:shd w:val="clear" w:color="auto" w:fill="auto"/>
            <w:noWrap/>
            <w:hideMark/>
          </w:tcPr>
          <w:p w14:paraId="288034C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9760A6A"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6E00DA1" w14:textId="77777777" w:rsidTr="00C10263">
        <w:trPr>
          <w:trHeight w:val="540"/>
          <w:jc w:val="center"/>
        </w:trPr>
        <w:tc>
          <w:tcPr>
            <w:tcW w:w="307" w:type="dxa"/>
            <w:shd w:val="clear" w:color="000000" w:fill="FFFFFF"/>
            <w:noWrap/>
            <w:hideMark/>
          </w:tcPr>
          <w:p w14:paraId="12CCDF2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898E72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CE9A2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7.3.53</w:t>
            </w:r>
          </w:p>
        </w:tc>
        <w:tc>
          <w:tcPr>
            <w:tcW w:w="3923" w:type="dxa"/>
            <w:gridSpan w:val="3"/>
            <w:shd w:val="clear" w:color="000000" w:fill="FFFFFF"/>
            <w:noWrap/>
            <w:hideMark/>
          </w:tcPr>
          <w:p w14:paraId="2A11E3C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Hospital Regional de Alta Especialidad de Zumpango.</w:t>
            </w:r>
          </w:p>
        </w:tc>
        <w:tc>
          <w:tcPr>
            <w:tcW w:w="1566" w:type="dxa"/>
            <w:shd w:val="clear" w:color="000000" w:fill="FFFFFF"/>
            <w:noWrap/>
            <w:hideMark/>
          </w:tcPr>
          <w:p w14:paraId="0B5CB7C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75,255,216</w:t>
            </w:r>
          </w:p>
        </w:tc>
        <w:tc>
          <w:tcPr>
            <w:tcW w:w="1492" w:type="dxa"/>
            <w:shd w:val="clear" w:color="auto" w:fill="auto"/>
            <w:noWrap/>
            <w:hideMark/>
          </w:tcPr>
          <w:p w14:paraId="7F03A07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92EE3A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6091552" w14:textId="77777777" w:rsidTr="00C10263">
        <w:trPr>
          <w:trHeight w:val="272"/>
          <w:jc w:val="center"/>
        </w:trPr>
        <w:tc>
          <w:tcPr>
            <w:tcW w:w="307" w:type="dxa"/>
            <w:shd w:val="clear" w:color="000000" w:fill="FFFFFF"/>
            <w:noWrap/>
            <w:hideMark/>
          </w:tcPr>
          <w:p w14:paraId="7C77A76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55E63C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125994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7.3.54</w:t>
            </w:r>
          </w:p>
        </w:tc>
        <w:tc>
          <w:tcPr>
            <w:tcW w:w="3923" w:type="dxa"/>
            <w:gridSpan w:val="3"/>
            <w:shd w:val="clear" w:color="000000" w:fill="FFFFFF"/>
            <w:noWrap/>
            <w:hideMark/>
          </w:tcPr>
          <w:p w14:paraId="7A766BD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Mexiquense de la Vivienda Social.</w:t>
            </w:r>
          </w:p>
        </w:tc>
        <w:tc>
          <w:tcPr>
            <w:tcW w:w="1566" w:type="dxa"/>
            <w:shd w:val="clear" w:color="000000" w:fill="FFFFFF"/>
            <w:noWrap/>
            <w:hideMark/>
          </w:tcPr>
          <w:p w14:paraId="2C15287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10,999,995</w:t>
            </w:r>
          </w:p>
        </w:tc>
        <w:tc>
          <w:tcPr>
            <w:tcW w:w="1492" w:type="dxa"/>
            <w:shd w:val="clear" w:color="auto" w:fill="auto"/>
            <w:noWrap/>
            <w:hideMark/>
          </w:tcPr>
          <w:p w14:paraId="42BF6BE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49C2A2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8F1EE51" w14:textId="77777777" w:rsidTr="00C10263">
        <w:trPr>
          <w:trHeight w:val="540"/>
          <w:jc w:val="center"/>
        </w:trPr>
        <w:tc>
          <w:tcPr>
            <w:tcW w:w="307" w:type="dxa"/>
            <w:shd w:val="clear" w:color="000000" w:fill="FFFFFF"/>
            <w:noWrap/>
            <w:hideMark/>
          </w:tcPr>
          <w:p w14:paraId="1583C2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AD3496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6B375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7.3.55</w:t>
            </w:r>
          </w:p>
        </w:tc>
        <w:tc>
          <w:tcPr>
            <w:tcW w:w="3923" w:type="dxa"/>
            <w:gridSpan w:val="3"/>
            <w:shd w:val="clear" w:color="000000" w:fill="FFFFFF"/>
            <w:noWrap/>
            <w:hideMark/>
          </w:tcPr>
          <w:p w14:paraId="7D9D05A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Investigación y Fomento de las Artesanías del Estado de México.</w:t>
            </w:r>
          </w:p>
        </w:tc>
        <w:tc>
          <w:tcPr>
            <w:tcW w:w="1566" w:type="dxa"/>
            <w:shd w:val="clear" w:color="000000" w:fill="FFFFFF"/>
            <w:noWrap/>
            <w:hideMark/>
          </w:tcPr>
          <w:p w14:paraId="0BEF94E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1,298,966</w:t>
            </w:r>
          </w:p>
        </w:tc>
        <w:tc>
          <w:tcPr>
            <w:tcW w:w="1492" w:type="dxa"/>
            <w:shd w:val="clear" w:color="auto" w:fill="auto"/>
            <w:noWrap/>
            <w:hideMark/>
          </w:tcPr>
          <w:p w14:paraId="0130B18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41807D9"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F01DA4B" w14:textId="77777777" w:rsidTr="00C10263">
        <w:trPr>
          <w:trHeight w:val="540"/>
          <w:jc w:val="center"/>
        </w:trPr>
        <w:tc>
          <w:tcPr>
            <w:tcW w:w="307" w:type="dxa"/>
            <w:shd w:val="clear" w:color="000000" w:fill="FFFFFF"/>
            <w:noWrap/>
            <w:hideMark/>
          </w:tcPr>
          <w:p w14:paraId="245080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F62725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EC9E1C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7.3.56</w:t>
            </w:r>
          </w:p>
        </w:tc>
        <w:tc>
          <w:tcPr>
            <w:tcW w:w="3923" w:type="dxa"/>
            <w:gridSpan w:val="3"/>
            <w:shd w:val="clear" w:color="000000" w:fill="FFFFFF"/>
            <w:noWrap/>
            <w:hideMark/>
          </w:tcPr>
          <w:p w14:paraId="61E860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la Función Registral del Estado de México.</w:t>
            </w:r>
          </w:p>
        </w:tc>
        <w:tc>
          <w:tcPr>
            <w:tcW w:w="1566" w:type="dxa"/>
            <w:shd w:val="clear" w:color="000000" w:fill="FFFFFF"/>
            <w:noWrap/>
            <w:hideMark/>
          </w:tcPr>
          <w:p w14:paraId="2AB884E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124,725,694</w:t>
            </w:r>
          </w:p>
        </w:tc>
        <w:tc>
          <w:tcPr>
            <w:tcW w:w="1492" w:type="dxa"/>
            <w:shd w:val="clear" w:color="auto" w:fill="auto"/>
            <w:noWrap/>
            <w:hideMark/>
          </w:tcPr>
          <w:p w14:paraId="03CF204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C17256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B1390AB" w14:textId="77777777" w:rsidTr="00C10263">
        <w:trPr>
          <w:trHeight w:val="540"/>
          <w:jc w:val="center"/>
        </w:trPr>
        <w:tc>
          <w:tcPr>
            <w:tcW w:w="307" w:type="dxa"/>
            <w:shd w:val="clear" w:color="000000" w:fill="FFFFFF"/>
            <w:noWrap/>
            <w:hideMark/>
          </w:tcPr>
          <w:p w14:paraId="65206A3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797298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D2000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7.3.57</w:t>
            </w:r>
          </w:p>
        </w:tc>
        <w:tc>
          <w:tcPr>
            <w:tcW w:w="3923" w:type="dxa"/>
            <w:gridSpan w:val="3"/>
            <w:shd w:val="clear" w:color="000000" w:fill="FFFFFF"/>
            <w:noWrap/>
            <w:hideMark/>
          </w:tcPr>
          <w:p w14:paraId="7FCC52A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Procuraduría de Protección al Ambiente del Estado de México.</w:t>
            </w:r>
          </w:p>
        </w:tc>
        <w:tc>
          <w:tcPr>
            <w:tcW w:w="1566" w:type="dxa"/>
            <w:shd w:val="clear" w:color="000000" w:fill="FFFFFF"/>
            <w:noWrap/>
            <w:hideMark/>
          </w:tcPr>
          <w:p w14:paraId="5C8BACE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13,557,803</w:t>
            </w:r>
          </w:p>
        </w:tc>
        <w:tc>
          <w:tcPr>
            <w:tcW w:w="1492" w:type="dxa"/>
            <w:shd w:val="clear" w:color="auto" w:fill="auto"/>
            <w:noWrap/>
            <w:hideMark/>
          </w:tcPr>
          <w:p w14:paraId="75750AD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62D835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FB46752" w14:textId="77777777" w:rsidTr="00C10263">
        <w:trPr>
          <w:trHeight w:val="555"/>
          <w:jc w:val="center"/>
        </w:trPr>
        <w:tc>
          <w:tcPr>
            <w:tcW w:w="307" w:type="dxa"/>
            <w:shd w:val="clear" w:color="000000" w:fill="FFFFFF"/>
            <w:noWrap/>
            <w:hideMark/>
          </w:tcPr>
          <w:p w14:paraId="78A1CC9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2324F8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F21374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7.3.58</w:t>
            </w:r>
          </w:p>
        </w:tc>
        <w:tc>
          <w:tcPr>
            <w:tcW w:w="3923" w:type="dxa"/>
            <w:gridSpan w:val="3"/>
            <w:shd w:val="clear" w:color="000000" w:fill="FFFFFF"/>
            <w:noWrap/>
            <w:hideMark/>
          </w:tcPr>
          <w:p w14:paraId="0852347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Centro de Control de Confianza del Estado de México.</w:t>
            </w:r>
          </w:p>
        </w:tc>
        <w:tc>
          <w:tcPr>
            <w:tcW w:w="1566" w:type="dxa"/>
            <w:shd w:val="clear" w:color="000000" w:fill="FFFFFF"/>
            <w:noWrap/>
            <w:hideMark/>
          </w:tcPr>
          <w:p w14:paraId="54B2E63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120,999,999</w:t>
            </w:r>
          </w:p>
        </w:tc>
        <w:tc>
          <w:tcPr>
            <w:tcW w:w="1492" w:type="dxa"/>
            <w:shd w:val="clear" w:color="auto" w:fill="auto"/>
            <w:noWrap/>
            <w:hideMark/>
          </w:tcPr>
          <w:p w14:paraId="6E36759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A490E3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9FDD7D1" w14:textId="77777777" w:rsidTr="00C10263">
        <w:trPr>
          <w:trHeight w:val="255"/>
          <w:jc w:val="center"/>
        </w:trPr>
        <w:tc>
          <w:tcPr>
            <w:tcW w:w="307" w:type="dxa"/>
            <w:shd w:val="clear" w:color="000000" w:fill="FFFFFF"/>
            <w:noWrap/>
            <w:hideMark/>
          </w:tcPr>
          <w:p w14:paraId="66EC85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AD837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3CE011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7.3.59</w:t>
            </w:r>
          </w:p>
        </w:tc>
        <w:tc>
          <w:tcPr>
            <w:tcW w:w="3923" w:type="dxa"/>
            <w:gridSpan w:val="3"/>
            <w:shd w:val="clear" w:color="000000" w:fill="FFFFFF"/>
            <w:noWrap/>
            <w:hideMark/>
          </w:tcPr>
          <w:p w14:paraId="410C25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 Tecámac.</w:t>
            </w:r>
          </w:p>
        </w:tc>
        <w:tc>
          <w:tcPr>
            <w:tcW w:w="1566" w:type="dxa"/>
            <w:shd w:val="clear" w:color="000000" w:fill="FFFFFF"/>
            <w:noWrap/>
            <w:hideMark/>
          </w:tcPr>
          <w:p w14:paraId="09F5190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18,271,311</w:t>
            </w:r>
          </w:p>
        </w:tc>
        <w:tc>
          <w:tcPr>
            <w:tcW w:w="1492" w:type="dxa"/>
            <w:shd w:val="clear" w:color="auto" w:fill="auto"/>
            <w:noWrap/>
            <w:hideMark/>
          </w:tcPr>
          <w:p w14:paraId="1ACE87E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03F5DCB"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4332118" w14:textId="77777777" w:rsidTr="00C10263">
        <w:trPr>
          <w:trHeight w:val="255"/>
          <w:jc w:val="center"/>
        </w:trPr>
        <w:tc>
          <w:tcPr>
            <w:tcW w:w="307" w:type="dxa"/>
            <w:shd w:val="clear" w:color="000000" w:fill="FFFFFF"/>
            <w:noWrap/>
            <w:hideMark/>
          </w:tcPr>
          <w:p w14:paraId="3A4D20B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BEC6EF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868DF8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7.3.60</w:t>
            </w:r>
          </w:p>
        </w:tc>
        <w:tc>
          <w:tcPr>
            <w:tcW w:w="3923" w:type="dxa"/>
            <w:gridSpan w:val="3"/>
            <w:shd w:val="clear" w:color="000000" w:fill="FFFFFF"/>
            <w:noWrap/>
            <w:hideMark/>
          </w:tcPr>
          <w:p w14:paraId="6A541EE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Mexiquense del Bicentenario.</w:t>
            </w:r>
          </w:p>
        </w:tc>
        <w:tc>
          <w:tcPr>
            <w:tcW w:w="1566" w:type="dxa"/>
            <w:shd w:val="clear" w:color="000000" w:fill="FFFFFF"/>
            <w:noWrap/>
            <w:hideMark/>
          </w:tcPr>
          <w:p w14:paraId="38333EB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112,306,602</w:t>
            </w:r>
          </w:p>
        </w:tc>
        <w:tc>
          <w:tcPr>
            <w:tcW w:w="1492" w:type="dxa"/>
            <w:shd w:val="clear" w:color="auto" w:fill="auto"/>
            <w:noWrap/>
            <w:hideMark/>
          </w:tcPr>
          <w:p w14:paraId="20F8E8E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80C1FF8"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0F9B8D5" w14:textId="77777777" w:rsidTr="00C10263">
        <w:trPr>
          <w:trHeight w:val="255"/>
          <w:jc w:val="center"/>
        </w:trPr>
        <w:tc>
          <w:tcPr>
            <w:tcW w:w="307" w:type="dxa"/>
            <w:shd w:val="clear" w:color="000000" w:fill="FFFFFF"/>
            <w:noWrap/>
            <w:hideMark/>
          </w:tcPr>
          <w:p w14:paraId="488971C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BDFCE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40B1F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7.3.61</w:t>
            </w:r>
          </w:p>
        </w:tc>
        <w:tc>
          <w:tcPr>
            <w:tcW w:w="3923" w:type="dxa"/>
            <w:gridSpan w:val="3"/>
            <w:shd w:val="clear" w:color="000000" w:fill="FFFFFF"/>
            <w:noWrap/>
            <w:hideMark/>
          </w:tcPr>
          <w:p w14:paraId="29D2877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Estatal del Valle de Toluca.</w:t>
            </w:r>
          </w:p>
        </w:tc>
        <w:tc>
          <w:tcPr>
            <w:tcW w:w="1566" w:type="dxa"/>
            <w:shd w:val="clear" w:color="000000" w:fill="FFFFFF"/>
            <w:noWrap/>
            <w:hideMark/>
          </w:tcPr>
          <w:p w14:paraId="0CA4288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11,487,385</w:t>
            </w:r>
          </w:p>
        </w:tc>
        <w:tc>
          <w:tcPr>
            <w:tcW w:w="1492" w:type="dxa"/>
            <w:shd w:val="clear" w:color="auto" w:fill="auto"/>
            <w:noWrap/>
            <w:hideMark/>
          </w:tcPr>
          <w:p w14:paraId="10B3179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19CA1D8"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E95A39A" w14:textId="77777777" w:rsidTr="00C10263">
        <w:trPr>
          <w:trHeight w:val="315"/>
          <w:jc w:val="center"/>
        </w:trPr>
        <w:tc>
          <w:tcPr>
            <w:tcW w:w="307" w:type="dxa"/>
            <w:shd w:val="clear" w:color="000000" w:fill="FFFFFF"/>
            <w:noWrap/>
            <w:hideMark/>
          </w:tcPr>
          <w:p w14:paraId="773483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49DABC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FD337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7.3.62</w:t>
            </w:r>
          </w:p>
        </w:tc>
        <w:tc>
          <w:tcPr>
            <w:tcW w:w="3923" w:type="dxa"/>
            <w:gridSpan w:val="3"/>
            <w:shd w:val="clear" w:color="000000" w:fill="FFFFFF"/>
            <w:noWrap/>
            <w:hideMark/>
          </w:tcPr>
          <w:p w14:paraId="050BA7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Banco de Tejidos del Estado de México.</w:t>
            </w:r>
          </w:p>
        </w:tc>
        <w:tc>
          <w:tcPr>
            <w:tcW w:w="1566" w:type="dxa"/>
            <w:shd w:val="clear" w:color="000000" w:fill="FFFFFF"/>
            <w:noWrap/>
            <w:hideMark/>
          </w:tcPr>
          <w:p w14:paraId="2B271BB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9,190,096</w:t>
            </w:r>
          </w:p>
        </w:tc>
        <w:tc>
          <w:tcPr>
            <w:tcW w:w="1492" w:type="dxa"/>
            <w:shd w:val="clear" w:color="auto" w:fill="auto"/>
            <w:noWrap/>
            <w:hideMark/>
          </w:tcPr>
          <w:p w14:paraId="1660343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3C02D47"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FA6E423" w14:textId="77777777" w:rsidTr="00C10263">
        <w:trPr>
          <w:trHeight w:val="1005"/>
          <w:jc w:val="center"/>
        </w:trPr>
        <w:tc>
          <w:tcPr>
            <w:tcW w:w="307" w:type="dxa"/>
            <w:shd w:val="clear" w:color="000000" w:fill="FFFFFF"/>
            <w:noWrap/>
            <w:hideMark/>
          </w:tcPr>
          <w:p w14:paraId="4DB24E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C7DFC9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85082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7.3.63</w:t>
            </w:r>
          </w:p>
        </w:tc>
        <w:tc>
          <w:tcPr>
            <w:tcW w:w="3923" w:type="dxa"/>
            <w:gridSpan w:val="3"/>
            <w:shd w:val="clear" w:color="000000" w:fill="FFFFFF"/>
            <w:noWrap/>
            <w:hideMark/>
          </w:tcPr>
          <w:p w14:paraId="63AD368F" w14:textId="08B39C7C"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Fideicomiso Público Irrevocable de Administración, Financiamiento, Inversión y Pago para la Construcción de Centros Preventivos y de Readaptación Social en el Estado de México y denominado "Fideicomiso C3".</w:t>
            </w:r>
          </w:p>
        </w:tc>
        <w:tc>
          <w:tcPr>
            <w:tcW w:w="1566" w:type="dxa"/>
            <w:shd w:val="clear" w:color="000000" w:fill="FFFFFF"/>
            <w:noWrap/>
            <w:hideMark/>
          </w:tcPr>
          <w:p w14:paraId="0712F5E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D704C3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82A08F8"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1BCC2F7" w14:textId="77777777" w:rsidTr="00C10263">
        <w:trPr>
          <w:trHeight w:val="255"/>
          <w:jc w:val="center"/>
        </w:trPr>
        <w:tc>
          <w:tcPr>
            <w:tcW w:w="307" w:type="dxa"/>
            <w:shd w:val="clear" w:color="000000" w:fill="FFFFFF"/>
            <w:noWrap/>
            <w:hideMark/>
          </w:tcPr>
          <w:p w14:paraId="208B0EF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1C939E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FBEFA2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7.3.64</w:t>
            </w:r>
          </w:p>
        </w:tc>
        <w:tc>
          <w:tcPr>
            <w:tcW w:w="3923" w:type="dxa"/>
            <w:gridSpan w:val="3"/>
            <w:shd w:val="clear" w:color="000000" w:fill="FFFFFF"/>
            <w:noWrap/>
            <w:hideMark/>
          </w:tcPr>
          <w:p w14:paraId="0C9097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Sistema de Transporte Masivo y Teleférico del Estado de México.</w:t>
            </w:r>
          </w:p>
        </w:tc>
        <w:tc>
          <w:tcPr>
            <w:tcW w:w="1566" w:type="dxa"/>
            <w:shd w:val="clear" w:color="000000" w:fill="FFFFFF"/>
            <w:noWrap/>
            <w:hideMark/>
          </w:tcPr>
          <w:p w14:paraId="220EB71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17,074,285</w:t>
            </w:r>
          </w:p>
        </w:tc>
        <w:tc>
          <w:tcPr>
            <w:tcW w:w="1492" w:type="dxa"/>
            <w:shd w:val="clear" w:color="auto" w:fill="auto"/>
            <w:noWrap/>
            <w:hideMark/>
          </w:tcPr>
          <w:p w14:paraId="2992126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3D872E6"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43FBCCE" w14:textId="77777777" w:rsidTr="00C10263">
        <w:trPr>
          <w:trHeight w:val="300"/>
          <w:jc w:val="center"/>
        </w:trPr>
        <w:tc>
          <w:tcPr>
            <w:tcW w:w="307" w:type="dxa"/>
            <w:shd w:val="clear" w:color="000000" w:fill="FFFFFF"/>
            <w:noWrap/>
            <w:hideMark/>
          </w:tcPr>
          <w:p w14:paraId="4190364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480072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E9E88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7.3.65</w:t>
            </w:r>
          </w:p>
        </w:tc>
        <w:tc>
          <w:tcPr>
            <w:tcW w:w="3923" w:type="dxa"/>
            <w:gridSpan w:val="3"/>
            <w:shd w:val="clear" w:color="000000" w:fill="FFFFFF"/>
            <w:noWrap/>
            <w:hideMark/>
          </w:tcPr>
          <w:p w14:paraId="32D65FB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 Texcoco.</w:t>
            </w:r>
          </w:p>
        </w:tc>
        <w:tc>
          <w:tcPr>
            <w:tcW w:w="1566" w:type="dxa"/>
            <w:shd w:val="clear" w:color="000000" w:fill="FFFFFF"/>
            <w:noWrap/>
            <w:hideMark/>
          </w:tcPr>
          <w:p w14:paraId="6522FF7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14,946,605</w:t>
            </w:r>
          </w:p>
        </w:tc>
        <w:tc>
          <w:tcPr>
            <w:tcW w:w="1492" w:type="dxa"/>
            <w:shd w:val="clear" w:color="auto" w:fill="auto"/>
            <w:noWrap/>
            <w:hideMark/>
          </w:tcPr>
          <w:p w14:paraId="0AB062F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BD1373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B098D7F" w14:textId="77777777" w:rsidTr="00C10263">
        <w:trPr>
          <w:trHeight w:val="300"/>
          <w:jc w:val="center"/>
        </w:trPr>
        <w:tc>
          <w:tcPr>
            <w:tcW w:w="307" w:type="dxa"/>
            <w:shd w:val="clear" w:color="000000" w:fill="FFFFFF"/>
            <w:noWrap/>
            <w:hideMark/>
          </w:tcPr>
          <w:p w14:paraId="6C3AE86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AF383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B00010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7.3.66</w:t>
            </w:r>
          </w:p>
        </w:tc>
        <w:tc>
          <w:tcPr>
            <w:tcW w:w="3923" w:type="dxa"/>
            <w:gridSpan w:val="3"/>
            <w:shd w:val="clear" w:color="000000" w:fill="FFFFFF"/>
            <w:noWrap/>
            <w:hideMark/>
          </w:tcPr>
          <w:p w14:paraId="2A333E6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Digital del Estado de México.</w:t>
            </w:r>
          </w:p>
        </w:tc>
        <w:tc>
          <w:tcPr>
            <w:tcW w:w="1566" w:type="dxa"/>
            <w:shd w:val="clear" w:color="000000" w:fill="FFFFFF"/>
            <w:noWrap/>
            <w:hideMark/>
          </w:tcPr>
          <w:p w14:paraId="0AEDFAB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25,983,103</w:t>
            </w:r>
          </w:p>
        </w:tc>
        <w:tc>
          <w:tcPr>
            <w:tcW w:w="1492" w:type="dxa"/>
            <w:shd w:val="clear" w:color="auto" w:fill="auto"/>
            <w:noWrap/>
            <w:hideMark/>
          </w:tcPr>
          <w:p w14:paraId="66B81DA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055EA47"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BF54FB8" w14:textId="77777777" w:rsidTr="00C10263">
        <w:trPr>
          <w:trHeight w:val="300"/>
          <w:jc w:val="center"/>
        </w:trPr>
        <w:tc>
          <w:tcPr>
            <w:tcW w:w="307" w:type="dxa"/>
            <w:shd w:val="clear" w:color="000000" w:fill="FFFFFF"/>
            <w:noWrap/>
            <w:hideMark/>
          </w:tcPr>
          <w:p w14:paraId="788603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844E2D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5BF3F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7.3.67</w:t>
            </w:r>
          </w:p>
        </w:tc>
        <w:tc>
          <w:tcPr>
            <w:tcW w:w="3923" w:type="dxa"/>
            <w:gridSpan w:val="3"/>
            <w:shd w:val="clear" w:color="000000" w:fill="FFFFFF"/>
            <w:noWrap/>
            <w:hideMark/>
          </w:tcPr>
          <w:p w14:paraId="64F112F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 Atlautla.</w:t>
            </w:r>
          </w:p>
        </w:tc>
        <w:tc>
          <w:tcPr>
            <w:tcW w:w="1566" w:type="dxa"/>
            <w:shd w:val="clear" w:color="000000" w:fill="FFFFFF"/>
            <w:noWrap/>
            <w:hideMark/>
          </w:tcPr>
          <w:p w14:paraId="0F71437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5,208,135</w:t>
            </w:r>
          </w:p>
        </w:tc>
        <w:tc>
          <w:tcPr>
            <w:tcW w:w="1492" w:type="dxa"/>
            <w:shd w:val="clear" w:color="auto" w:fill="auto"/>
            <w:noWrap/>
            <w:hideMark/>
          </w:tcPr>
          <w:p w14:paraId="07359C0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EB0493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3B4506B" w14:textId="77777777" w:rsidTr="00C10263">
        <w:trPr>
          <w:trHeight w:val="300"/>
          <w:jc w:val="center"/>
        </w:trPr>
        <w:tc>
          <w:tcPr>
            <w:tcW w:w="307" w:type="dxa"/>
            <w:shd w:val="clear" w:color="000000" w:fill="FFFFFF"/>
            <w:noWrap/>
            <w:hideMark/>
          </w:tcPr>
          <w:p w14:paraId="4D001B0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81A164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BD4FB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7.3.68</w:t>
            </w:r>
          </w:p>
        </w:tc>
        <w:tc>
          <w:tcPr>
            <w:tcW w:w="3923" w:type="dxa"/>
            <w:gridSpan w:val="3"/>
            <w:shd w:val="clear" w:color="000000" w:fill="FFFFFF"/>
            <w:noWrap/>
            <w:hideMark/>
          </w:tcPr>
          <w:p w14:paraId="74B025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 Atlacomulco.</w:t>
            </w:r>
          </w:p>
        </w:tc>
        <w:tc>
          <w:tcPr>
            <w:tcW w:w="1566" w:type="dxa"/>
            <w:shd w:val="clear" w:color="000000" w:fill="FFFFFF"/>
            <w:noWrap/>
            <w:hideMark/>
          </w:tcPr>
          <w:p w14:paraId="24996CB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8,317,322</w:t>
            </w:r>
          </w:p>
        </w:tc>
        <w:tc>
          <w:tcPr>
            <w:tcW w:w="1492" w:type="dxa"/>
            <w:shd w:val="clear" w:color="auto" w:fill="auto"/>
            <w:noWrap/>
            <w:hideMark/>
          </w:tcPr>
          <w:p w14:paraId="2CEB99E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57BA6A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7D8136B" w14:textId="77777777" w:rsidTr="00C10263">
        <w:trPr>
          <w:trHeight w:val="270"/>
          <w:jc w:val="center"/>
        </w:trPr>
        <w:tc>
          <w:tcPr>
            <w:tcW w:w="307" w:type="dxa"/>
            <w:shd w:val="clear" w:color="000000" w:fill="FFFFFF"/>
            <w:noWrap/>
            <w:hideMark/>
          </w:tcPr>
          <w:p w14:paraId="477E023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82807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2A21B2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7.3.69</w:t>
            </w:r>
          </w:p>
        </w:tc>
        <w:tc>
          <w:tcPr>
            <w:tcW w:w="3923" w:type="dxa"/>
            <w:gridSpan w:val="3"/>
            <w:shd w:val="clear" w:color="000000" w:fill="FFFFFF"/>
            <w:noWrap/>
            <w:hideMark/>
          </w:tcPr>
          <w:p w14:paraId="5FF8032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 Cuautitlán Izcalli.</w:t>
            </w:r>
          </w:p>
        </w:tc>
        <w:tc>
          <w:tcPr>
            <w:tcW w:w="1566" w:type="dxa"/>
            <w:shd w:val="clear" w:color="000000" w:fill="FFFFFF"/>
            <w:noWrap/>
            <w:hideMark/>
          </w:tcPr>
          <w:p w14:paraId="489CD4A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6,571,466</w:t>
            </w:r>
          </w:p>
        </w:tc>
        <w:tc>
          <w:tcPr>
            <w:tcW w:w="1492" w:type="dxa"/>
            <w:shd w:val="clear" w:color="auto" w:fill="auto"/>
            <w:noWrap/>
            <w:hideMark/>
          </w:tcPr>
          <w:p w14:paraId="4397692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2A8FBFE"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74A3E607" w14:textId="77777777" w:rsidTr="00C10263">
        <w:trPr>
          <w:trHeight w:val="255"/>
          <w:jc w:val="center"/>
        </w:trPr>
        <w:tc>
          <w:tcPr>
            <w:tcW w:w="307" w:type="dxa"/>
            <w:shd w:val="clear" w:color="000000" w:fill="FFFFFF"/>
            <w:noWrap/>
            <w:hideMark/>
          </w:tcPr>
          <w:p w14:paraId="476DC90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9C63D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54391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7.3.70</w:t>
            </w:r>
          </w:p>
        </w:tc>
        <w:tc>
          <w:tcPr>
            <w:tcW w:w="3923" w:type="dxa"/>
            <w:gridSpan w:val="3"/>
            <w:shd w:val="clear" w:color="000000" w:fill="FFFFFF"/>
            <w:noWrap/>
            <w:hideMark/>
          </w:tcPr>
          <w:p w14:paraId="2C3B8A5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 Otzolotepec.</w:t>
            </w:r>
          </w:p>
        </w:tc>
        <w:tc>
          <w:tcPr>
            <w:tcW w:w="1566" w:type="dxa"/>
            <w:shd w:val="clear" w:color="000000" w:fill="FFFFFF"/>
            <w:noWrap/>
            <w:hideMark/>
          </w:tcPr>
          <w:p w14:paraId="0336A3F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3,485,149</w:t>
            </w:r>
          </w:p>
        </w:tc>
        <w:tc>
          <w:tcPr>
            <w:tcW w:w="1492" w:type="dxa"/>
            <w:shd w:val="clear" w:color="auto" w:fill="auto"/>
            <w:noWrap/>
            <w:hideMark/>
          </w:tcPr>
          <w:p w14:paraId="623D005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942D9A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DC898EE" w14:textId="77777777" w:rsidTr="00C10263">
        <w:trPr>
          <w:trHeight w:val="255"/>
          <w:jc w:val="center"/>
        </w:trPr>
        <w:tc>
          <w:tcPr>
            <w:tcW w:w="307" w:type="dxa"/>
            <w:shd w:val="clear" w:color="000000" w:fill="FFFFFF"/>
            <w:noWrap/>
            <w:hideMark/>
          </w:tcPr>
          <w:p w14:paraId="4EBC940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386AEC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0EBB5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7.3.71</w:t>
            </w:r>
          </w:p>
        </w:tc>
        <w:tc>
          <w:tcPr>
            <w:tcW w:w="3923" w:type="dxa"/>
            <w:gridSpan w:val="3"/>
            <w:shd w:val="clear" w:color="000000" w:fill="FFFFFF"/>
            <w:noWrap/>
            <w:hideMark/>
          </w:tcPr>
          <w:p w14:paraId="7DA0B0F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Politécnica de Chimalhuacán.</w:t>
            </w:r>
          </w:p>
        </w:tc>
        <w:tc>
          <w:tcPr>
            <w:tcW w:w="1566" w:type="dxa"/>
            <w:shd w:val="clear" w:color="000000" w:fill="FFFFFF"/>
            <w:noWrap/>
            <w:hideMark/>
          </w:tcPr>
          <w:p w14:paraId="18B216A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4,401,850</w:t>
            </w:r>
          </w:p>
        </w:tc>
        <w:tc>
          <w:tcPr>
            <w:tcW w:w="1492" w:type="dxa"/>
            <w:shd w:val="clear" w:color="auto" w:fill="auto"/>
            <w:noWrap/>
            <w:hideMark/>
          </w:tcPr>
          <w:p w14:paraId="031ACDC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3654C9A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F41654B" w14:textId="77777777" w:rsidTr="00C10263">
        <w:trPr>
          <w:trHeight w:val="255"/>
          <w:jc w:val="center"/>
        </w:trPr>
        <w:tc>
          <w:tcPr>
            <w:tcW w:w="307" w:type="dxa"/>
            <w:shd w:val="clear" w:color="000000" w:fill="FFFFFF"/>
            <w:noWrap/>
            <w:hideMark/>
          </w:tcPr>
          <w:p w14:paraId="439FD91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65776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458F4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7.3.72</w:t>
            </w:r>
          </w:p>
        </w:tc>
        <w:tc>
          <w:tcPr>
            <w:tcW w:w="3923" w:type="dxa"/>
            <w:gridSpan w:val="3"/>
            <w:shd w:val="clear" w:color="000000" w:fill="FFFFFF"/>
            <w:noWrap/>
            <w:hideMark/>
          </w:tcPr>
          <w:p w14:paraId="239DC8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Tecnológica de Zinacantepec.</w:t>
            </w:r>
          </w:p>
        </w:tc>
        <w:tc>
          <w:tcPr>
            <w:tcW w:w="1566" w:type="dxa"/>
            <w:shd w:val="clear" w:color="000000" w:fill="FFFFFF"/>
            <w:noWrap/>
            <w:hideMark/>
          </w:tcPr>
          <w:p w14:paraId="772F627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5,352,432</w:t>
            </w:r>
          </w:p>
        </w:tc>
        <w:tc>
          <w:tcPr>
            <w:tcW w:w="1492" w:type="dxa"/>
            <w:shd w:val="clear" w:color="auto" w:fill="auto"/>
            <w:noWrap/>
            <w:hideMark/>
          </w:tcPr>
          <w:p w14:paraId="6FE107B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6F27A0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1DA5670" w14:textId="77777777" w:rsidTr="00C10263">
        <w:trPr>
          <w:trHeight w:val="495"/>
          <w:jc w:val="center"/>
        </w:trPr>
        <w:tc>
          <w:tcPr>
            <w:tcW w:w="307" w:type="dxa"/>
            <w:shd w:val="clear" w:color="000000" w:fill="FFFFFF"/>
            <w:noWrap/>
            <w:hideMark/>
          </w:tcPr>
          <w:p w14:paraId="4AD7D1E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49C54B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C6B13D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7.3.73</w:t>
            </w:r>
          </w:p>
        </w:tc>
        <w:tc>
          <w:tcPr>
            <w:tcW w:w="3923" w:type="dxa"/>
            <w:gridSpan w:val="3"/>
            <w:shd w:val="clear" w:color="000000" w:fill="FFFFFF"/>
            <w:noWrap/>
            <w:hideMark/>
          </w:tcPr>
          <w:p w14:paraId="02E45E9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Tecnológico de Estudios Superiores de Chicoloapan.</w:t>
            </w:r>
          </w:p>
        </w:tc>
        <w:tc>
          <w:tcPr>
            <w:tcW w:w="1566" w:type="dxa"/>
            <w:shd w:val="clear" w:color="000000" w:fill="FFFFFF"/>
            <w:noWrap/>
            <w:hideMark/>
          </w:tcPr>
          <w:p w14:paraId="0E0DB80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1,914,999</w:t>
            </w:r>
          </w:p>
        </w:tc>
        <w:tc>
          <w:tcPr>
            <w:tcW w:w="1492" w:type="dxa"/>
            <w:shd w:val="clear" w:color="auto" w:fill="auto"/>
            <w:noWrap/>
            <w:hideMark/>
          </w:tcPr>
          <w:p w14:paraId="3F58961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483DDA2"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9150A07" w14:textId="77777777" w:rsidTr="00C10263">
        <w:trPr>
          <w:trHeight w:val="495"/>
          <w:jc w:val="center"/>
        </w:trPr>
        <w:tc>
          <w:tcPr>
            <w:tcW w:w="307" w:type="dxa"/>
            <w:shd w:val="clear" w:color="000000" w:fill="FFFFFF"/>
            <w:noWrap/>
            <w:hideMark/>
          </w:tcPr>
          <w:p w14:paraId="0032BE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5B7E7F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B4A0FF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7.3.74</w:t>
            </w:r>
          </w:p>
        </w:tc>
        <w:tc>
          <w:tcPr>
            <w:tcW w:w="3923" w:type="dxa"/>
            <w:gridSpan w:val="3"/>
            <w:shd w:val="clear" w:color="000000" w:fill="FFFFFF"/>
            <w:noWrap/>
            <w:hideMark/>
          </w:tcPr>
          <w:p w14:paraId="1352A7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Comisión Técnica del Agua del Estado de México.</w:t>
            </w:r>
          </w:p>
        </w:tc>
        <w:tc>
          <w:tcPr>
            <w:tcW w:w="1566" w:type="dxa"/>
            <w:shd w:val="clear" w:color="000000" w:fill="FFFFFF"/>
            <w:noWrap/>
            <w:hideMark/>
          </w:tcPr>
          <w:p w14:paraId="64FA863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9FC6D9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404D966"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6D21E84" w14:textId="77777777" w:rsidTr="00C10263">
        <w:trPr>
          <w:trHeight w:val="495"/>
          <w:jc w:val="center"/>
        </w:trPr>
        <w:tc>
          <w:tcPr>
            <w:tcW w:w="307" w:type="dxa"/>
            <w:shd w:val="clear" w:color="000000" w:fill="FFFFFF"/>
            <w:noWrap/>
            <w:hideMark/>
          </w:tcPr>
          <w:p w14:paraId="272E7E9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DBA5A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123CC2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7.3.75</w:t>
            </w:r>
          </w:p>
        </w:tc>
        <w:tc>
          <w:tcPr>
            <w:tcW w:w="3923" w:type="dxa"/>
            <w:gridSpan w:val="3"/>
            <w:shd w:val="clear" w:color="000000" w:fill="FFFFFF"/>
            <w:noWrap/>
            <w:hideMark/>
          </w:tcPr>
          <w:p w14:paraId="455B6A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Inspección General de las Instituciones de Seguridad Pública del Estado de México.</w:t>
            </w:r>
          </w:p>
        </w:tc>
        <w:tc>
          <w:tcPr>
            <w:tcW w:w="1566" w:type="dxa"/>
            <w:shd w:val="clear" w:color="000000" w:fill="FFFFFF"/>
            <w:noWrap/>
            <w:hideMark/>
          </w:tcPr>
          <w:p w14:paraId="5F22DF5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7DFF2F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579A59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C5C1B9C" w14:textId="77777777" w:rsidTr="00C10263">
        <w:trPr>
          <w:trHeight w:val="495"/>
          <w:jc w:val="center"/>
        </w:trPr>
        <w:tc>
          <w:tcPr>
            <w:tcW w:w="307" w:type="dxa"/>
            <w:shd w:val="clear" w:color="000000" w:fill="FFFFFF"/>
            <w:noWrap/>
            <w:hideMark/>
          </w:tcPr>
          <w:p w14:paraId="25E9A28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F0D7A4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317B53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7.3.76</w:t>
            </w:r>
          </w:p>
        </w:tc>
        <w:tc>
          <w:tcPr>
            <w:tcW w:w="3923" w:type="dxa"/>
            <w:gridSpan w:val="3"/>
            <w:shd w:val="clear" w:color="000000" w:fill="FFFFFF"/>
            <w:noWrap/>
            <w:hideMark/>
          </w:tcPr>
          <w:p w14:paraId="0F9052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Procuraduría del Colono del Estado de México.</w:t>
            </w:r>
          </w:p>
        </w:tc>
        <w:tc>
          <w:tcPr>
            <w:tcW w:w="1566" w:type="dxa"/>
            <w:shd w:val="clear" w:color="000000" w:fill="FFFFFF"/>
            <w:noWrap/>
            <w:hideMark/>
          </w:tcPr>
          <w:p w14:paraId="2ECB2F2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43DD0D8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25D3237"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5D5DCCE" w14:textId="77777777" w:rsidTr="00C10263">
        <w:trPr>
          <w:trHeight w:val="308"/>
          <w:jc w:val="center"/>
        </w:trPr>
        <w:tc>
          <w:tcPr>
            <w:tcW w:w="307" w:type="dxa"/>
            <w:shd w:val="clear" w:color="000000" w:fill="FFFFFF"/>
            <w:noWrap/>
            <w:hideMark/>
          </w:tcPr>
          <w:p w14:paraId="149BE8E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C43508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D74CD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7.3.77</w:t>
            </w:r>
          </w:p>
        </w:tc>
        <w:tc>
          <w:tcPr>
            <w:tcW w:w="3923" w:type="dxa"/>
            <w:gridSpan w:val="3"/>
            <w:shd w:val="clear" w:color="000000" w:fill="FFFFFF"/>
            <w:noWrap/>
            <w:hideMark/>
          </w:tcPr>
          <w:p w14:paraId="04F47AF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Mexiquense para la Discapacidad.</w:t>
            </w:r>
          </w:p>
        </w:tc>
        <w:tc>
          <w:tcPr>
            <w:tcW w:w="1566" w:type="dxa"/>
            <w:shd w:val="clear" w:color="000000" w:fill="FFFFFF"/>
            <w:noWrap/>
            <w:hideMark/>
          </w:tcPr>
          <w:p w14:paraId="321DD23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3D1626D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5DD4CBE"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021F781" w14:textId="77777777" w:rsidTr="00C10263">
        <w:trPr>
          <w:trHeight w:val="795"/>
          <w:jc w:val="center"/>
        </w:trPr>
        <w:tc>
          <w:tcPr>
            <w:tcW w:w="307" w:type="dxa"/>
            <w:shd w:val="clear" w:color="000000" w:fill="FFFFFF"/>
            <w:noWrap/>
            <w:hideMark/>
          </w:tcPr>
          <w:p w14:paraId="5884A52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3BF91B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7470D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7.3.78</w:t>
            </w:r>
          </w:p>
        </w:tc>
        <w:tc>
          <w:tcPr>
            <w:tcW w:w="3923" w:type="dxa"/>
            <w:gridSpan w:val="3"/>
            <w:shd w:val="clear" w:color="000000" w:fill="FFFFFF"/>
            <w:noWrap/>
            <w:hideMark/>
          </w:tcPr>
          <w:p w14:paraId="1BCC7C4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Formación Continua, Profesionalización e Investigación del Magisterio del Estado de México.</w:t>
            </w:r>
          </w:p>
        </w:tc>
        <w:tc>
          <w:tcPr>
            <w:tcW w:w="1566" w:type="dxa"/>
            <w:shd w:val="clear" w:color="000000" w:fill="FFFFFF"/>
            <w:noWrap/>
            <w:hideMark/>
          </w:tcPr>
          <w:p w14:paraId="0EC8470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3459707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63D7E45"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D49FAB7" w14:textId="77777777" w:rsidTr="00C10263">
        <w:trPr>
          <w:trHeight w:val="495"/>
          <w:jc w:val="center"/>
        </w:trPr>
        <w:tc>
          <w:tcPr>
            <w:tcW w:w="307" w:type="dxa"/>
            <w:shd w:val="clear" w:color="000000" w:fill="FFFFFF"/>
            <w:noWrap/>
            <w:hideMark/>
          </w:tcPr>
          <w:p w14:paraId="1220F2E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1514002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B56CFC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7.3.79</w:t>
            </w:r>
          </w:p>
        </w:tc>
        <w:tc>
          <w:tcPr>
            <w:tcW w:w="3923" w:type="dxa"/>
            <w:gridSpan w:val="3"/>
            <w:shd w:val="clear" w:color="000000" w:fill="FFFFFF"/>
            <w:noWrap/>
            <w:hideMark/>
          </w:tcPr>
          <w:p w14:paraId="0C6CF50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Centro Regional de Formación Docente e Investigación Educativa.</w:t>
            </w:r>
          </w:p>
        </w:tc>
        <w:tc>
          <w:tcPr>
            <w:tcW w:w="1566" w:type="dxa"/>
            <w:shd w:val="clear" w:color="000000" w:fill="FFFFFF"/>
            <w:noWrap/>
            <w:hideMark/>
          </w:tcPr>
          <w:p w14:paraId="4B02010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449,090</w:t>
            </w:r>
          </w:p>
        </w:tc>
        <w:tc>
          <w:tcPr>
            <w:tcW w:w="1492" w:type="dxa"/>
            <w:shd w:val="clear" w:color="auto" w:fill="auto"/>
            <w:noWrap/>
            <w:hideMark/>
          </w:tcPr>
          <w:p w14:paraId="26EEA62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C686DD3"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60DF3220" w14:textId="77777777" w:rsidTr="00C10263">
        <w:trPr>
          <w:trHeight w:val="585"/>
          <w:jc w:val="center"/>
        </w:trPr>
        <w:tc>
          <w:tcPr>
            <w:tcW w:w="307" w:type="dxa"/>
            <w:shd w:val="clear" w:color="000000" w:fill="FFFFFF"/>
            <w:noWrap/>
            <w:hideMark/>
          </w:tcPr>
          <w:p w14:paraId="5A2407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34A900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E84C56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7.3.80</w:t>
            </w:r>
          </w:p>
        </w:tc>
        <w:tc>
          <w:tcPr>
            <w:tcW w:w="3923" w:type="dxa"/>
            <w:gridSpan w:val="3"/>
            <w:shd w:val="clear" w:color="000000" w:fill="FFFFFF"/>
            <w:noWrap/>
            <w:hideMark/>
          </w:tcPr>
          <w:p w14:paraId="5696886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Políticas Públicas del Estado de México y sus Municipios.</w:t>
            </w:r>
          </w:p>
        </w:tc>
        <w:tc>
          <w:tcPr>
            <w:tcW w:w="1566" w:type="dxa"/>
            <w:shd w:val="clear" w:color="000000" w:fill="FFFFFF"/>
            <w:noWrap/>
            <w:hideMark/>
          </w:tcPr>
          <w:p w14:paraId="67FB3B1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900,000</w:t>
            </w:r>
          </w:p>
        </w:tc>
        <w:tc>
          <w:tcPr>
            <w:tcW w:w="1492" w:type="dxa"/>
            <w:shd w:val="clear" w:color="auto" w:fill="auto"/>
            <w:noWrap/>
            <w:hideMark/>
          </w:tcPr>
          <w:p w14:paraId="2C16EE9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6CC261F"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3D554D77" w14:textId="77777777" w:rsidTr="00C10263">
        <w:trPr>
          <w:trHeight w:val="300"/>
          <w:jc w:val="center"/>
        </w:trPr>
        <w:tc>
          <w:tcPr>
            <w:tcW w:w="307" w:type="dxa"/>
            <w:shd w:val="clear" w:color="000000" w:fill="FFFFFF"/>
            <w:noWrap/>
            <w:hideMark/>
          </w:tcPr>
          <w:p w14:paraId="6D92DEA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6755FA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FE3443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7.3.81</w:t>
            </w:r>
          </w:p>
        </w:tc>
        <w:tc>
          <w:tcPr>
            <w:tcW w:w="3923" w:type="dxa"/>
            <w:gridSpan w:val="3"/>
            <w:shd w:val="clear" w:color="000000" w:fill="FFFFFF"/>
            <w:noWrap/>
            <w:hideMark/>
          </w:tcPr>
          <w:p w14:paraId="5CBBB9F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Mexiquense de Seguridad.</w:t>
            </w:r>
          </w:p>
        </w:tc>
        <w:tc>
          <w:tcPr>
            <w:tcW w:w="1566" w:type="dxa"/>
            <w:shd w:val="clear" w:color="000000" w:fill="FFFFFF"/>
            <w:noWrap/>
            <w:hideMark/>
          </w:tcPr>
          <w:p w14:paraId="28D9C1A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98,543,133</w:t>
            </w:r>
          </w:p>
        </w:tc>
        <w:tc>
          <w:tcPr>
            <w:tcW w:w="1492" w:type="dxa"/>
            <w:shd w:val="clear" w:color="auto" w:fill="auto"/>
            <w:noWrap/>
            <w:hideMark/>
          </w:tcPr>
          <w:p w14:paraId="44E6C86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64A23197"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5B8D5E3" w14:textId="77777777" w:rsidTr="00C10263">
        <w:trPr>
          <w:trHeight w:val="300"/>
          <w:jc w:val="center"/>
        </w:trPr>
        <w:tc>
          <w:tcPr>
            <w:tcW w:w="307" w:type="dxa"/>
            <w:shd w:val="clear" w:color="000000" w:fill="FFFFFF"/>
            <w:noWrap/>
            <w:hideMark/>
          </w:tcPr>
          <w:p w14:paraId="0C899F6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6B41B3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684D1B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7.3.82</w:t>
            </w:r>
          </w:p>
        </w:tc>
        <w:tc>
          <w:tcPr>
            <w:tcW w:w="3923" w:type="dxa"/>
            <w:gridSpan w:val="3"/>
            <w:shd w:val="clear" w:color="000000" w:fill="FFFFFF"/>
            <w:noWrap/>
            <w:hideMark/>
          </w:tcPr>
          <w:p w14:paraId="006D3C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Unidad de Asuntos Internos.</w:t>
            </w:r>
          </w:p>
        </w:tc>
        <w:tc>
          <w:tcPr>
            <w:tcW w:w="1566" w:type="dxa"/>
            <w:shd w:val="clear" w:color="000000" w:fill="FFFFFF"/>
            <w:noWrap/>
            <w:hideMark/>
          </w:tcPr>
          <w:p w14:paraId="79B42C9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101F748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1C60BA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1E9445C6" w14:textId="77777777" w:rsidTr="00C10263">
        <w:trPr>
          <w:trHeight w:val="300"/>
          <w:jc w:val="center"/>
        </w:trPr>
        <w:tc>
          <w:tcPr>
            <w:tcW w:w="307" w:type="dxa"/>
            <w:shd w:val="clear" w:color="000000" w:fill="FFFFFF"/>
            <w:noWrap/>
            <w:hideMark/>
          </w:tcPr>
          <w:p w14:paraId="5EF23A5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DB5AD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DCF8A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7.3.83</w:t>
            </w:r>
          </w:p>
        </w:tc>
        <w:tc>
          <w:tcPr>
            <w:tcW w:w="3923" w:type="dxa"/>
            <w:gridSpan w:val="3"/>
            <w:shd w:val="clear" w:color="000000" w:fill="FFFFFF"/>
            <w:noWrap/>
            <w:hideMark/>
          </w:tcPr>
          <w:p w14:paraId="6DFABA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Fideicomiso para el Desarrollo de Parques y Zonas Industriales en el Estado de México.</w:t>
            </w:r>
          </w:p>
        </w:tc>
        <w:tc>
          <w:tcPr>
            <w:tcW w:w="1566" w:type="dxa"/>
            <w:shd w:val="clear" w:color="000000" w:fill="FFFFFF"/>
            <w:noWrap/>
            <w:hideMark/>
          </w:tcPr>
          <w:p w14:paraId="46DAD90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30,902,193</w:t>
            </w:r>
          </w:p>
        </w:tc>
        <w:tc>
          <w:tcPr>
            <w:tcW w:w="1492" w:type="dxa"/>
            <w:shd w:val="clear" w:color="auto" w:fill="auto"/>
            <w:noWrap/>
            <w:hideMark/>
          </w:tcPr>
          <w:p w14:paraId="54C4987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1519EC8B"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3EA272B" w14:textId="77777777" w:rsidTr="00C10263">
        <w:trPr>
          <w:trHeight w:val="300"/>
          <w:jc w:val="center"/>
        </w:trPr>
        <w:tc>
          <w:tcPr>
            <w:tcW w:w="307" w:type="dxa"/>
            <w:shd w:val="clear" w:color="000000" w:fill="FFFFFF"/>
            <w:noWrap/>
            <w:hideMark/>
          </w:tcPr>
          <w:p w14:paraId="3945760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8CDADC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58F9C5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7.3.84</w:t>
            </w:r>
          </w:p>
        </w:tc>
        <w:tc>
          <w:tcPr>
            <w:tcW w:w="3923" w:type="dxa"/>
            <w:gridSpan w:val="3"/>
            <w:shd w:val="clear" w:color="000000" w:fill="FFFFFF"/>
            <w:noWrap/>
            <w:hideMark/>
          </w:tcPr>
          <w:p w14:paraId="316D2CD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Centro de Conciliación Laboral del Estado de México.</w:t>
            </w:r>
          </w:p>
        </w:tc>
        <w:tc>
          <w:tcPr>
            <w:tcW w:w="1566" w:type="dxa"/>
            <w:shd w:val="clear" w:color="000000" w:fill="FFFFFF"/>
            <w:noWrap/>
            <w:hideMark/>
          </w:tcPr>
          <w:p w14:paraId="445E044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5D6FF4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40BCDFD"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4DDA7366" w14:textId="77777777" w:rsidTr="00C10263">
        <w:trPr>
          <w:trHeight w:val="300"/>
          <w:jc w:val="center"/>
        </w:trPr>
        <w:tc>
          <w:tcPr>
            <w:tcW w:w="307" w:type="dxa"/>
            <w:shd w:val="clear" w:color="000000" w:fill="FFFFFF"/>
            <w:noWrap/>
            <w:hideMark/>
          </w:tcPr>
          <w:p w14:paraId="58ED88A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BA0DF1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59C30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7.3.85</w:t>
            </w:r>
          </w:p>
        </w:tc>
        <w:tc>
          <w:tcPr>
            <w:tcW w:w="3923" w:type="dxa"/>
            <w:gridSpan w:val="3"/>
            <w:shd w:val="clear" w:color="000000" w:fill="FFFFFF"/>
            <w:noWrap/>
            <w:hideMark/>
          </w:tcPr>
          <w:p w14:paraId="640EDD2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Secretaría Ejecutiva del Sistema Estatal Anticorrupción.</w:t>
            </w:r>
          </w:p>
        </w:tc>
        <w:tc>
          <w:tcPr>
            <w:tcW w:w="1566" w:type="dxa"/>
            <w:shd w:val="clear" w:color="000000" w:fill="FFFFFF"/>
            <w:noWrap/>
            <w:hideMark/>
          </w:tcPr>
          <w:p w14:paraId="2947EDB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4776CA8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343DF4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66BBB46" w14:textId="77777777" w:rsidTr="00C10263">
        <w:trPr>
          <w:trHeight w:val="300"/>
          <w:jc w:val="center"/>
        </w:trPr>
        <w:tc>
          <w:tcPr>
            <w:tcW w:w="307" w:type="dxa"/>
            <w:shd w:val="clear" w:color="000000" w:fill="FFFFFF"/>
            <w:noWrap/>
            <w:hideMark/>
          </w:tcPr>
          <w:p w14:paraId="5089F58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79C53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3485FB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7.3.86</w:t>
            </w:r>
          </w:p>
        </w:tc>
        <w:tc>
          <w:tcPr>
            <w:tcW w:w="3923" w:type="dxa"/>
            <w:gridSpan w:val="3"/>
            <w:shd w:val="clear" w:color="000000" w:fill="FFFFFF"/>
            <w:noWrap/>
            <w:hideMark/>
          </w:tcPr>
          <w:p w14:paraId="2A8D448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Ingresos y Beneficios.</w:t>
            </w:r>
          </w:p>
        </w:tc>
        <w:tc>
          <w:tcPr>
            <w:tcW w:w="1566" w:type="dxa"/>
            <w:shd w:val="clear" w:color="000000" w:fill="FFFFFF"/>
            <w:noWrap/>
            <w:hideMark/>
          </w:tcPr>
          <w:p w14:paraId="0889CBD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95E2C8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CDE47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21517CA" w14:textId="77777777" w:rsidTr="00C10263">
        <w:trPr>
          <w:trHeight w:val="850"/>
          <w:jc w:val="center"/>
        </w:trPr>
        <w:tc>
          <w:tcPr>
            <w:tcW w:w="307" w:type="dxa"/>
            <w:shd w:val="clear" w:color="000000" w:fill="FFFFFF"/>
            <w:noWrap/>
            <w:hideMark/>
          </w:tcPr>
          <w:p w14:paraId="3DFC381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0014F2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7.4</w:t>
            </w:r>
          </w:p>
        </w:tc>
        <w:tc>
          <w:tcPr>
            <w:tcW w:w="4562" w:type="dxa"/>
            <w:gridSpan w:val="4"/>
            <w:shd w:val="clear" w:color="000000" w:fill="FFFFFF"/>
            <w:noWrap/>
            <w:hideMark/>
          </w:tcPr>
          <w:p w14:paraId="1D477CB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Entidades Paraestatales Empresariales No Financieras con Participación Estatal Mayoritaria:</w:t>
            </w:r>
          </w:p>
        </w:tc>
        <w:tc>
          <w:tcPr>
            <w:tcW w:w="1566" w:type="dxa"/>
            <w:shd w:val="clear" w:color="000000" w:fill="FFFFFF"/>
            <w:noWrap/>
            <w:hideMark/>
          </w:tcPr>
          <w:p w14:paraId="5A884CA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158,922,952</w:t>
            </w:r>
          </w:p>
        </w:tc>
        <w:tc>
          <w:tcPr>
            <w:tcW w:w="1492" w:type="dxa"/>
            <w:shd w:val="clear" w:color="auto" w:fill="auto"/>
            <w:noWrap/>
            <w:hideMark/>
          </w:tcPr>
          <w:p w14:paraId="39F06F4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57EA499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5628B18" w14:textId="77777777" w:rsidTr="00C10263">
        <w:trPr>
          <w:trHeight w:val="315"/>
          <w:jc w:val="center"/>
        </w:trPr>
        <w:tc>
          <w:tcPr>
            <w:tcW w:w="307" w:type="dxa"/>
            <w:shd w:val="clear" w:color="000000" w:fill="FFFFFF"/>
            <w:noWrap/>
            <w:hideMark/>
          </w:tcPr>
          <w:p w14:paraId="0E3E919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164860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876A68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7.4.1</w:t>
            </w:r>
          </w:p>
        </w:tc>
        <w:tc>
          <w:tcPr>
            <w:tcW w:w="3923" w:type="dxa"/>
            <w:gridSpan w:val="3"/>
            <w:shd w:val="clear" w:color="000000" w:fill="FFFFFF"/>
            <w:noWrap/>
            <w:hideMark/>
          </w:tcPr>
          <w:p w14:paraId="5ADEE5F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Reciclagua Ambiental, S.A. de C.V.</w:t>
            </w:r>
          </w:p>
        </w:tc>
        <w:tc>
          <w:tcPr>
            <w:tcW w:w="1566" w:type="dxa"/>
            <w:shd w:val="clear" w:color="000000" w:fill="FFFFFF"/>
            <w:noWrap/>
            <w:hideMark/>
          </w:tcPr>
          <w:p w14:paraId="3429815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158,922,952</w:t>
            </w:r>
          </w:p>
        </w:tc>
        <w:tc>
          <w:tcPr>
            <w:tcW w:w="1492" w:type="dxa"/>
            <w:shd w:val="clear" w:color="auto" w:fill="auto"/>
            <w:noWrap/>
            <w:hideMark/>
          </w:tcPr>
          <w:p w14:paraId="3754829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40227801"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56478047" w14:textId="77777777" w:rsidTr="00C10263">
        <w:trPr>
          <w:trHeight w:val="1035"/>
          <w:jc w:val="center"/>
        </w:trPr>
        <w:tc>
          <w:tcPr>
            <w:tcW w:w="307" w:type="dxa"/>
            <w:shd w:val="clear" w:color="000000" w:fill="FFFFFF"/>
            <w:noWrap/>
            <w:hideMark/>
          </w:tcPr>
          <w:p w14:paraId="307ECB3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B460ED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7.5</w:t>
            </w:r>
          </w:p>
        </w:tc>
        <w:tc>
          <w:tcPr>
            <w:tcW w:w="4562" w:type="dxa"/>
            <w:gridSpan w:val="4"/>
            <w:shd w:val="clear" w:color="000000" w:fill="FFFFFF"/>
            <w:noWrap/>
            <w:hideMark/>
          </w:tcPr>
          <w:p w14:paraId="19B4012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Entidades Paraestatales Empresariales Financieras Monetarias con Participación Estatal Mayoritaria.</w:t>
            </w:r>
          </w:p>
        </w:tc>
        <w:tc>
          <w:tcPr>
            <w:tcW w:w="1566" w:type="dxa"/>
            <w:shd w:val="clear" w:color="000000" w:fill="FFFFFF"/>
            <w:noWrap/>
            <w:hideMark/>
          </w:tcPr>
          <w:p w14:paraId="299C439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AD9508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2DF2CA4C"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215228B9" w14:textId="77777777" w:rsidTr="00C10263">
        <w:trPr>
          <w:trHeight w:val="1035"/>
          <w:jc w:val="center"/>
        </w:trPr>
        <w:tc>
          <w:tcPr>
            <w:tcW w:w="307" w:type="dxa"/>
            <w:shd w:val="clear" w:color="000000" w:fill="FFFFFF"/>
            <w:noWrap/>
            <w:hideMark/>
          </w:tcPr>
          <w:p w14:paraId="1011064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82992A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7.6</w:t>
            </w:r>
          </w:p>
        </w:tc>
        <w:tc>
          <w:tcPr>
            <w:tcW w:w="4562" w:type="dxa"/>
            <w:gridSpan w:val="4"/>
            <w:shd w:val="clear" w:color="000000" w:fill="FFFFFF"/>
            <w:noWrap/>
            <w:hideMark/>
          </w:tcPr>
          <w:p w14:paraId="6DEBDC7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Entidades Paraestatales Empresariales Financieras No Monetarias con Participación Estatal Mayoritaria.</w:t>
            </w:r>
          </w:p>
        </w:tc>
        <w:tc>
          <w:tcPr>
            <w:tcW w:w="1566" w:type="dxa"/>
            <w:shd w:val="clear" w:color="000000" w:fill="FFFFFF"/>
            <w:noWrap/>
            <w:hideMark/>
          </w:tcPr>
          <w:p w14:paraId="0C76C71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43C04D7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368AA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EB9E45C" w14:textId="77777777" w:rsidTr="00C10263">
        <w:trPr>
          <w:trHeight w:val="795"/>
          <w:jc w:val="center"/>
        </w:trPr>
        <w:tc>
          <w:tcPr>
            <w:tcW w:w="307" w:type="dxa"/>
            <w:shd w:val="clear" w:color="000000" w:fill="FFFFFF"/>
            <w:noWrap/>
            <w:hideMark/>
          </w:tcPr>
          <w:p w14:paraId="67F0F8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26909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7.7</w:t>
            </w:r>
          </w:p>
        </w:tc>
        <w:tc>
          <w:tcPr>
            <w:tcW w:w="4562" w:type="dxa"/>
            <w:gridSpan w:val="4"/>
            <w:shd w:val="clear" w:color="000000" w:fill="FFFFFF"/>
            <w:noWrap/>
            <w:hideMark/>
          </w:tcPr>
          <w:p w14:paraId="329B7A5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Fideicomisos Financieros Públicos con Participación Estatal Mayoritaria.</w:t>
            </w:r>
          </w:p>
        </w:tc>
        <w:tc>
          <w:tcPr>
            <w:tcW w:w="1566" w:type="dxa"/>
            <w:shd w:val="clear" w:color="000000" w:fill="FFFFFF"/>
            <w:noWrap/>
            <w:hideMark/>
          </w:tcPr>
          <w:p w14:paraId="11B1D42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6E24562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30AC1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E41B8CD" w14:textId="77777777" w:rsidTr="00C10263">
        <w:trPr>
          <w:trHeight w:val="825"/>
          <w:jc w:val="center"/>
        </w:trPr>
        <w:tc>
          <w:tcPr>
            <w:tcW w:w="307" w:type="dxa"/>
            <w:shd w:val="clear" w:color="000000" w:fill="FFFFFF"/>
            <w:noWrap/>
            <w:hideMark/>
          </w:tcPr>
          <w:p w14:paraId="4C7A862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37A344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w:t>
            </w:r>
          </w:p>
        </w:tc>
        <w:tc>
          <w:tcPr>
            <w:tcW w:w="4562" w:type="dxa"/>
            <w:gridSpan w:val="4"/>
            <w:shd w:val="clear" w:color="000000" w:fill="FFFFFF"/>
            <w:noWrap/>
            <w:hideMark/>
          </w:tcPr>
          <w:p w14:paraId="5234700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Ingresos por Venta de Bienes y Prestación de Servicios de los Poderes Legislativo y Judicial, y de los Órganos Autónomos:</w:t>
            </w:r>
          </w:p>
        </w:tc>
        <w:tc>
          <w:tcPr>
            <w:tcW w:w="1566" w:type="dxa"/>
            <w:shd w:val="clear" w:color="000000" w:fill="FFFFFF"/>
            <w:noWrap/>
            <w:hideMark/>
          </w:tcPr>
          <w:p w14:paraId="40BA3CB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1,006,787,087</w:t>
            </w:r>
          </w:p>
        </w:tc>
        <w:tc>
          <w:tcPr>
            <w:tcW w:w="1492" w:type="dxa"/>
            <w:shd w:val="clear" w:color="auto" w:fill="auto"/>
            <w:noWrap/>
            <w:hideMark/>
          </w:tcPr>
          <w:p w14:paraId="43B73A1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73BDAB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482BD0D" w14:textId="77777777" w:rsidTr="00C10263">
        <w:trPr>
          <w:trHeight w:val="255"/>
          <w:jc w:val="center"/>
        </w:trPr>
        <w:tc>
          <w:tcPr>
            <w:tcW w:w="307" w:type="dxa"/>
            <w:shd w:val="clear" w:color="000000" w:fill="FFFFFF"/>
            <w:noWrap/>
            <w:hideMark/>
          </w:tcPr>
          <w:p w14:paraId="3A5B7E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2FE4E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1249EA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7.8.1</w:t>
            </w:r>
          </w:p>
        </w:tc>
        <w:tc>
          <w:tcPr>
            <w:tcW w:w="3923" w:type="dxa"/>
            <w:gridSpan w:val="3"/>
            <w:shd w:val="clear" w:color="000000" w:fill="FFFFFF"/>
            <w:noWrap/>
            <w:hideMark/>
          </w:tcPr>
          <w:p w14:paraId="04E8084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Poder Legislativo.</w:t>
            </w:r>
          </w:p>
        </w:tc>
        <w:tc>
          <w:tcPr>
            <w:tcW w:w="1566" w:type="dxa"/>
            <w:shd w:val="clear" w:color="000000" w:fill="FFFFFF"/>
            <w:noWrap/>
            <w:hideMark/>
          </w:tcPr>
          <w:p w14:paraId="54922C7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30,000,001</w:t>
            </w:r>
          </w:p>
        </w:tc>
        <w:tc>
          <w:tcPr>
            <w:tcW w:w="1492" w:type="dxa"/>
            <w:shd w:val="clear" w:color="auto" w:fill="auto"/>
            <w:noWrap/>
            <w:hideMark/>
          </w:tcPr>
          <w:p w14:paraId="06C08C3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3CF58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4D9F50F" w14:textId="77777777" w:rsidTr="00C10263">
        <w:trPr>
          <w:trHeight w:val="255"/>
          <w:jc w:val="center"/>
        </w:trPr>
        <w:tc>
          <w:tcPr>
            <w:tcW w:w="307" w:type="dxa"/>
            <w:shd w:val="clear" w:color="000000" w:fill="FFFFFF"/>
            <w:noWrap/>
            <w:hideMark/>
          </w:tcPr>
          <w:p w14:paraId="069B8F6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8D99A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F03DF3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7.8.2</w:t>
            </w:r>
          </w:p>
        </w:tc>
        <w:tc>
          <w:tcPr>
            <w:tcW w:w="3923" w:type="dxa"/>
            <w:gridSpan w:val="3"/>
            <w:shd w:val="clear" w:color="000000" w:fill="FFFFFF"/>
            <w:noWrap/>
            <w:hideMark/>
          </w:tcPr>
          <w:p w14:paraId="02971D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Poder Judicial.</w:t>
            </w:r>
          </w:p>
        </w:tc>
        <w:tc>
          <w:tcPr>
            <w:tcW w:w="1566" w:type="dxa"/>
            <w:shd w:val="clear" w:color="000000" w:fill="FFFFFF"/>
            <w:noWrap/>
            <w:hideMark/>
          </w:tcPr>
          <w:p w14:paraId="7A4E77A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40,000,000</w:t>
            </w:r>
          </w:p>
        </w:tc>
        <w:tc>
          <w:tcPr>
            <w:tcW w:w="1492" w:type="dxa"/>
            <w:shd w:val="clear" w:color="auto" w:fill="auto"/>
            <w:noWrap/>
            <w:hideMark/>
          </w:tcPr>
          <w:p w14:paraId="2F5095E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193F99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14B7B87" w14:textId="77777777" w:rsidTr="00C10263">
        <w:trPr>
          <w:trHeight w:val="255"/>
          <w:jc w:val="center"/>
        </w:trPr>
        <w:tc>
          <w:tcPr>
            <w:tcW w:w="307" w:type="dxa"/>
            <w:shd w:val="clear" w:color="000000" w:fill="FFFFFF"/>
            <w:noWrap/>
            <w:hideMark/>
          </w:tcPr>
          <w:p w14:paraId="189B21E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2718D5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94903D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w:t>
            </w:r>
          </w:p>
        </w:tc>
        <w:tc>
          <w:tcPr>
            <w:tcW w:w="3923" w:type="dxa"/>
            <w:gridSpan w:val="3"/>
            <w:shd w:val="clear" w:color="000000" w:fill="FFFFFF"/>
            <w:noWrap/>
            <w:hideMark/>
          </w:tcPr>
          <w:p w14:paraId="712483B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Organismos Autónomos:</w:t>
            </w:r>
          </w:p>
        </w:tc>
        <w:tc>
          <w:tcPr>
            <w:tcW w:w="1566" w:type="dxa"/>
            <w:shd w:val="clear" w:color="000000" w:fill="FFFFFF"/>
            <w:noWrap/>
            <w:hideMark/>
          </w:tcPr>
          <w:p w14:paraId="20DE5AC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936,787,086</w:t>
            </w:r>
          </w:p>
        </w:tc>
        <w:tc>
          <w:tcPr>
            <w:tcW w:w="1492" w:type="dxa"/>
            <w:shd w:val="clear" w:color="auto" w:fill="auto"/>
            <w:noWrap/>
            <w:hideMark/>
          </w:tcPr>
          <w:p w14:paraId="0D4C4C0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30E291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D6961C5" w14:textId="77777777" w:rsidTr="00C10263">
        <w:trPr>
          <w:trHeight w:val="570"/>
          <w:jc w:val="center"/>
        </w:trPr>
        <w:tc>
          <w:tcPr>
            <w:tcW w:w="307" w:type="dxa"/>
            <w:shd w:val="clear" w:color="000000" w:fill="FFFFFF"/>
            <w:noWrap/>
            <w:hideMark/>
          </w:tcPr>
          <w:p w14:paraId="17CE9C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C586AA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7010AB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E05249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7.8.3.1</w:t>
            </w:r>
          </w:p>
        </w:tc>
        <w:tc>
          <w:tcPr>
            <w:tcW w:w="3073" w:type="dxa"/>
            <w:gridSpan w:val="2"/>
            <w:shd w:val="clear" w:color="000000" w:fill="FFFFFF"/>
            <w:noWrap/>
            <w:hideMark/>
          </w:tcPr>
          <w:p w14:paraId="46587B7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Comisión de Derechos Humanos del Estado de México.</w:t>
            </w:r>
          </w:p>
        </w:tc>
        <w:tc>
          <w:tcPr>
            <w:tcW w:w="1566" w:type="dxa"/>
            <w:shd w:val="clear" w:color="000000" w:fill="FFFFFF"/>
            <w:noWrap/>
            <w:hideMark/>
          </w:tcPr>
          <w:p w14:paraId="4B860F5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2,436,868</w:t>
            </w:r>
          </w:p>
        </w:tc>
        <w:tc>
          <w:tcPr>
            <w:tcW w:w="1492" w:type="dxa"/>
            <w:shd w:val="clear" w:color="auto" w:fill="auto"/>
            <w:noWrap/>
            <w:hideMark/>
          </w:tcPr>
          <w:p w14:paraId="7107B83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0335C5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C273B56" w14:textId="77777777" w:rsidTr="00C10263">
        <w:trPr>
          <w:trHeight w:val="570"/>
          <w:jc w:val="center"/>
        </w:trPr>
        <w:tc>
          <w:tcPr>
            <w:tcW w:w="307" w:type="dxa"/>
            <w:shd w:val="clear" w:color="000000" w:fill="FFFFFF"/>
            <w:noWrap/>
            <w:hideMark/>
          </w:tcPr>
          <w:p w14:paraId="2ED8B44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A8A0A3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CB615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0697A5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7.8.3.2</w:t>
            </w:r>
          </w:p>
        </w:tc>
        <w:tc>
          <w:tcPr>
            <w:tcW w:w="3073" w:type="dxa"/>
            <w:gridSpan w:val="2"/>
            <w:shd w:val="clear" w:color="000000" w:fill="FFFFFF"/>
            <w:noWrap/>
            <w:hideMark/>
          </w:tcPr>
          <w:p w14:paraId="4986365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Fiscalía General de Justicia del Estado de México.</w:t>
            </w:r>
          </w:p>
        </w:tc>
        <w:tc>
          <w:tcPr>
            <w:tcW w:w="1566" w:type="dxa"/>
            <w:shd w:val="clear" w:color="000000" w:fill="FFFFFF"/>
            <w:noWrap/>
            <w:hideMark/>
          </w:tcPr>
          <w:p w14:paraId="3CDE807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10,000,000</w:t>
            </w:r>
          </w:p>
        </w:tc>
        <w:tc>
          <w:tcPr>
            <w:tcW w:w="1492" w:type="dxa"/>
            <w:shd w:val="clear" w:color="auto" w:fill="auto"/>
            <w:noWrap/>
            <w:hideMark/>
          </w:tcPr>
          <w:p w14:paraId="3EF23FA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E81946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336AECC" w14:textId="77777777" w:rsidTr="00C10263">
        <w:trPr>
          <w:trHeight w:val="1061"/>
          <w:jc w:val="center"/>
        </w:trPr>
        <w:tc>
          <w:tcPr>
            <w:tcW w:w="307" w:type="dxa"/>
            <w:shd w:val="clear" w:color="000000" w:fill="FFFFFF"/>
            <w:noWrap/>
            <w:hideMark/>
          </w:tcPr>
          <w:p w14:paraId="081C3F4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EB3D24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3966E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D101DD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7.8.3.3</w:t>
            </w:r>
          </w:p>
        </w:tc>
        <w:tc>
          <w:tcPr>
            <w:tcW w:w="3073" w:type="dxa"/>
            <w:gridSpan w:val="2"/>
            <w:shd w:val="clear" w:color="000000" w:fill="FFFFFF"/>
            <w:noWrap/>
            <w:hideMark/>
          </w:tcPr>
          <w:p w14:paraId="3E546D8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de Transparencia, Acceso a la Información Pública y Protección de Datos Personales del Estado de México y Municipios.</w:t>
            </w:r>
          </w:p>
        </w:tc>
        <w:tc>
          <w:tcPr>
            <w:tcW w:w="1566" w:type="dxa"/>
            <w:shd w:val="clear" w:color="000000" w:fill="FFFFFF"/>
            <w:noWrap/>
            <w:hideMark/>
          </w:tcPr>
          <w:p w14:paraId="47F9EFD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206,000</w:t>
            </w:r>
          </w:p>
        </w:tc>
        <w:tc>
          <w:tcPr>
            <w:tcW w:w="1492" w:type="dxa"/>
            <w:shd w:val="clear" w:color="auto" w:fill="auto"/>
            <w:noWrap/>
            <w:hideMark/>
          </w:tcPr>
          <w:p w14:paraId="5A73D0B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81BF29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D51E4FC" w14:textId="77777777" w:rsidTr="00C10263">
        <w:trPr>
          <w:trHeight w:val="431"/>
          <w:jc w:val="center"/>
        </w:trPr>
        <w:tc>
          <w:tcPr>
            <w:tcW w:w="307" w:type="dxa"/>
            <w:shd w:val="clear" w:color="000000" w:fill="FFFFFF"/>
            <w:noWrap/>
            <w:hideMark/>
          </w:tcPr>
          <w:p w14:paraId="73DCB2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4B61C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9701BC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CE5E9C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7.8.3.4</w:t>
            </w:r>
          </w:p>
        </w:tc>
        <w:tc>
          <w:tcPr>
            <w:tcW w:w="3073" w:type="dxa"/>
            <w:gridSpan w:val="2"/>
            <w:shd w:val="clear" w:color="000000" w:fill="FFFFFF"/>
            <w:noWrap/>
            <w:hideMark/>
          </w:tcPr>
          <w:p w14:paraId="0B4613E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Instituto Electoral del Estado de México.</w:t>
            </w:r>
          </w:p>
        </w:tc>
        <w:tc>
          <w:tcPr>
            <w:tcW w:w="1566" w:type="dxa"/>
            <w:shd w:val="clear" w:color="000000" w:fill="FFFFFF"/>
            <w:noWrap/>
            <w:hideMark/>
          </w:tcPr>
          <w:p w14:paraId="1A76E0A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1,654,090</w:t>
            </w:r>
          </w:p>
        </w:tc>
        <w:tc>
          <w:tcPr>
            <w:tcW w:w="1492" w:type="dxa"/>
            <w:shd w:val="clear" w:color="auto" w:fill="auto"/>
            <w:noWrap/>
            <w:hideMark/>
          </w:tcPr>
          <w:p w14:paraId="5D9669E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E696B9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5A92E11" w14:textId="77777777" w:rsidTr="00C10263">
        <w:trPr>
          <w:trHeight w:val="422"/>
          <w:jc w:val="center"/>
        </w:trPr>
        <w:tc>
          <w:tcPr>
            <w:tcW w:w="307" w:type="dxa"/>
            <w:shd w:val="clear" w:color="000000" w:fill="FFFFFF"/>
            <w:noWrap/>
            <w:hideMark/>
          </w:tcPr>
          <w:p w14:paraId="29CA831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913161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C4448C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2A9BA6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7.8.3.5</w:t>
            </w:r>
          </w:p>
        </w:tc>
        <w:tc>
          <w:tcPr>
            <w:tcW w:w="3073" w:type="dxa"/>
            <w:gridSpan w:val="2"/>
            <w:shd w:val="clear" w:color="000000" w:fill="FFFFFF"/>
            <w:noWrap/>
            <w:hideMark/>
          </w:tcPr>
          <w:p w14:paraId="7460409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Tribunal Electoral del Estado de México.</w:t>
            </w:r>
          </w:p>
        </w:tc>
        <w:tc>
          <w:tcPr>
            <w:tcW w:w="1566" w:type="dxa"/>
            <w:shd w:val="clear" w:color="000000" w:fill="FFFFFF"/>
            <w:noWrap/>
            <w:hideMark/>
          </w:tcPr>
          <w:p w14:paraId="2B9B4FA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800,000</w:t>
            </w:r>
          </w:p>
        </w:tc>
        <w:tc>
          <w:tcPr>
            <w:tcW w:w="1492" w:type="dxa"/>
            <w:shd w:val="clear" w:color="auto" w:fill="auto"/>
            <w:noWrap/>
            <w:hideMark/>
          </w:tcPr>
          <w:p w14:paraId="004B8F5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DC5BB2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717205A" w14:textId="77777777" w:rsidTr="00C10263">
        <w:trPr>
          <w:trHeight w:val="570"/>
          <w:jc w:val="center"/>
        </w:trPr>
        <w:tc>
          <w:tcPr>
            <w:tcW w:w="307" w:type="dxa"/>
            <w:shd w:val="clear" w:color="000000" w:fill="FFFFFF"/>
            <w:noWrap/>
            <w:hideMark/>
          </w:tcPr>
          <w:p w14:paraId="565930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369CB4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4BA2E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5967E6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7.8.3.6</w:t>
            </w:r>
          </w:p>
        </w:tc>
        <w:tc>
          <w:tcPr>
            <w:tcW w:w="3073" w:type="dxa"/>
            <w:gridSpan w:val="2"/>
            <w:shd w:val="clear" w:color="000000" w:fill="FFFFFF"/>
            <w:noWrap/>
            <w:hideMark/>
          </w:tcPr>
          <w:p w14:paraId="597CEF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Autónoma del Estado de México.</w:t>
            </w:r>
          </w:p>
        </w:tc>
        <w:tc>
          <w:tcPr>
            <w:tcW w:w="1566" w:type="dxa"/>
            <w:shd w:val="clear" w:color="000000" w:fill="FFFFFF"/>
            <w:noWrap/>
            <w:hideMark/>
          </w:tcPr>
          <w:p w14:paraId="2900657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920,890,128</w:t>
            </w:r>
          </w:p>
        </w:tc>
        <w:tc>
          <w:tcPr>
            <w:tcW w:w="1492" w:type="dxa"/>
            <w:shd w:val="clear" w:color="auto" w:fill="auto"/>
            <w:noWrap/>
            <w:hideMark/>
          </w:tcPr>
          <w:p w14:paraId="0F40AE5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F6D16F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B9B7763" w14:textId="77777777" w:rsidTr="00C10263">
        <w:trPr>
          <w:trHeight w:val="564"/>
          <w:jc w:val="center"/>
        </w:trPr>
        <w:tc>
          <w:tcPr>
            <w:tcW w:w="307" w:type="dxa"/>
            <w:shd w:val="clear" w:color="000000" w:fill="FFFFFF"/>
            <w:noWrap/>
            <w:hideMark/>
          </w:tcPr>
          <w:p w14:paraId="2D410AF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34F742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A272F9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C599B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7.8.3.7</w:t>
            </w:r>
          </w:p>
        </w:tc>
        <w:tc>
          <w:tcPr>
            <w:tcW w:w="3073" w:type="dxa"/>
            <w:gridSpan w:val="2"/>
            <w:shd w:val="clear" w:color="000000" w:fill="FFFFFF"/>
            <w:noWrap/>
            <w:hideMark/>
          </w:tcPr>
          <w:p w14:paraId="34B45F4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xml:space="preserve">Tribunal de Justicia Administrativa del Estado de México. </w:t>
            </w:r>
          </w:p>
        </w:tc>
        <w:tc>
          <w:tcPr>
            <w:tcW w:w="1566" w:type="dxa"/>
            <w:shd w:val="clear" w:color="000000" w:fill="FFFFFF"/>
            <w:noWrap/>
            <w:hideMark/>
          </w:tcPr>
          <w:p w14:paraId="06B8274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800,000</w:t>
            </w:r>
          </w:p>
        </w:tc>
        <w:tc>
          <w:tcPr>
            <w:tcW w:w="1492" w:type="dxa"/>
            <w:shd w:val="clear" w:color="auto" w:fill="auto"/>
            <w:noWrap/>
            <w:hideMark/>
          </w:tcPr>
          <w:p w14:paraId="61C855C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D9015A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0CAFD5C" w14:textId="77777777" w:rsidTr="00C10263">
        <w:trPr>
          <w:trHeight w:val="210"/>
          <w:jc w:val="center"/>
        </w:trPr>
        <w:tc>
          <w:tcPr>
            <w:tcW w:w="307" w:type="dxa"/>
            <w:shd w:val="clear" w:color="000000" w:fill="FFFFFF"/>
            <w:noWrap/>
            <w:hideMark/>
          </w:tcPr>
          <w:p w14:paraId="16401B5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4665E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7.9</w:t>
            </w:r>
          </w:p>
        </w:tc>
        <w:tc>
          <w:tcPr>
            <w:tcW w:w="4562" w:type="dxa"/>
            <w:gridSpan w:val="4"/>
            <w:shd w:val="clear" w:color="000000" w:fill="FFFFFF"/>
            <w:noWrap/>
            <w:hideMark/>
          </w:tcPr>
          <w:p w14:paraId="564EE7A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Ingresos.</w:t>
            </w:r>
          </w:p>
        </w:tc>
        <w:tc>
          <w:tcPr>
            <w:tcW w:w="1566" w:type="dxa"/>
            <w:shd w:val="clear" w:color="000000" w:fill="FFFFFF"/>
            <w:noWrap/>
            <w:hideMark/>
          </w:tcPr>
          <w:p w14:paraId="2C192EE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D295A3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675D07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372DAA5" w14:textId="77777777" w:rsidTr="00C10263">
        <w:trPr>
          <w:trHeight w:val="135"/>
          <w:jc w:val="center"/>
        </w:trPr>
        <w:tc>
          <w:tcPr>
            <w:tcW w:w="307" w:type="dxa"/>
            <w:shd w:val="clear" w:color="000000" w:fill="FFFFFF"/>
            <w:noWrap/>
            <w:hideMark/>
          </w:tcPr>
          <w:p w14:paraId="466678A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42E99E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AD2C52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32E13BC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05BF5BE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193449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05EC561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56B00274"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395B024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D7A6EE7" w14:textId="77777777" w:rsidTr="00C10263">
        <w:trPr>
          <w:trHeight w:val="679"/>
          <w:jc w:val="center"/>
        </w:trPr>
        <w:tc>
          <w:tcPr>
            <w:tcW w:w="307" w:type="dxa"/>
            <w:shd w:val="clear" w:color="000000" w:fill="FFFFFF"/>
            <w:noWrap/>
            <w:hideMark/>
          </w:tcPr>
          <w:p w14:paraId="183AD405"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8.</w:t>
            </w:r>
          </w:p>
        </w:tc>
        <w:tc>
          <w:tcPr>
            <w:tcW w:w="5062" w:type="dxa"/>
            <w:gridSpan w:val="5"/>
            <w:shd w:val="clear" w:color="000000" w:fill="FFFFFF"/>
            <w:noWrap/>
            <w:hideMark/>
          </w:tcPr>
          <w:p w14:paraId="23E482D5"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Participaciones, Aportaciones, Convenios, Incentivos Derivados de la Colaboración Fiscal y Fondos Distintos de Aportaciones:</w:t>
            </w:r>
          </w:p>
        </w:tc>
        <w:tc>
          <w:tcPr>
            <w:tcW w:w="1566" w:type="dxa"/>
            <w:shd w:val="clear" w:color="000000" w:fill="FFFFFF"/>
            <w:noWrap/>
            <w:hideMark/>
          </w:tcPr>
          <w:p w14:paraId="107BF60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7E9948EB"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260,721,081,691</w:t>
            </w:r>
          </w:p>
        </w:tc>
        <w:tc>
          <w:tcPr>
            <w:tcW w:w="1492" w:type="dxa"/>
            <w:shd w:val="clear" w:color="000000" w:fill="FFFFFF"/>
            <w:hideMark/>
          </w:tcPr>
          <w:p w14:paraId="598F674A" w14:textId="77777777" w:rsidR="002B1A02" w:rsidRPr="00C10263" w:rsidRDefault="002B1A02" w:rsidP="00C10263">
            <w:pPr>
              <w:spacing w:line="240" w:lineRule="auto"/>
              <w:ind w:firstLineChars="200" w:firstLine="360"/>
              <w:rPr>
                <w:rFonts w:ascii="Arial" w:eastAsia="Times New Roman" w:hAnsi="Arial" w:cs="Arial"/>
                <w:sz w:val="18"/>
                <w:szCs w:val="18"/>
                <w:lang w:eastAsia="es-MX"/>
              </w:rPr>
            </w:pPr>
            <w:r w:rsidRPr="00C10263">
              <w:rPr>
                <w:rFonts w:ascii="Arial" w:eastAsia="Times New Roman" w:hAnsi="Arial" w:cs="Arial"/>
                <w:sz w:val="18"/>
                <w:szCs w:val="18"/>
                <w:lang w:eastAsia="es-MX"/>
              </w:rPr>
              <w:t> </w:t>
            </w:r>
          </w:p>
        </w:tc>
      </w:tr>
      <w:tr w:rsidR="002B1A02" w:rsidRPr="00E45F9D" w14:paraId="3BD9DD1D" w14:textId="77777777" w:rsidTr="00C10263">
        <w:trPr>
          <w:trHeight w:val="255"/>
          <w:jc w:val="center"/>
        </w:trPr>
        <w:tc>
          <w:tcPr>
            <w:tcW w:w="307" w:type="dxa"/>
            <w:shd w:val="clear" w:color="000000" w:fill="FFFFFF"/>
            <w:noWrap/>
            <w:hideMark/>
          </w:tcPr>
          <w:p w14:paraId="0CFD78C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30F0A4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w:t>
            </w:r>
          </w:p>
        </w:tc>
        <w:tc>
          <w:tcPr>
            <w:tcW w:w="4562" w:type="dxa"/>
            <w:gridSpan w:val="4"/>
            <w:shd w:val="clear" w:color="000000" w:fill="FFFFFF"/>
            <w:noWrap/>
            <w:hideMark/>
          </w:tcPr>
          <w:p w14:paraId="230A81D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Participaciones:</w:t>
            </w:r>
          </w:p>
        </w:tc>
        <w:tc>
          <w:tcPr>
            <w:tcW w:w="1566" w:type="dxa"/>
            <w:shd w:val="clear" w:color="000000" w:fill="FFFFFF"/>
            <w:noWrap/>
            <w:hideMark/>
          </w:tcPr>
          <w:p w14:paraId="6524D22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144,435,639,022</w:t>
            </w:r>
          </w:p>
        </w:tc>
        <w:tc>
          <w:tcPr>
            <w:tcW w:w="1492" w:type="dxa"/>
            <w:shd w:val="clear" w:color="auto" w:fill="auto"/>
            <w:noWrap/>
            <w:hideMark/>
          </w:tcPr>
          <w:p w14:paraId="509E037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8F7F7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834B653" w14:textId="77777777" w:rsidTr="00C10263">
        <w:trPr>
          <w:trHeight w:val="255"/>
          <w:jc w:val="center"/>
        </w:trPr>
        <w:tc>
          <w:tcPr>
            <w:tcW w:w="307" w:type="dxa"/>
            <w:shd w:val="clear" w:color="000000" w:fill="FFFFFF"/>
            <w:noWrap/>
            <w:hideMark/>
          </w:tcPr>
          <w:p w14:paraId="3004871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8BE4F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7F7D23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8.1.1</w:t>
            </w:r>
          </w:p>
        </w:tc>
        <w:tc>
          <w:tcPr>
            <w:tcW w:w="3923" w:type="dxa"/>
            <w:gridSpan w:val="3"/>
            <w:shd w:val="clear" w:color="000000" w:fill="FFFFFF"/>
            <w:noWrap/>
            <w:hideMark/>
          </w:tcPr>
          <w:p w14:paraId="7947841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General de Participaciones.</w:t>
            </w:r>
          </w:p>
        </w:tc>
        <w:tc>
          <w:tcPr>
            <w:tcW w:w="1566" w:type="dxa"/>
            <w:shd w:val="clear" w:color="000000" w:fill="FFFFFF"/>
            <w:noWrap/>
            <w:hideMark/>
          </w:tcPr>
          <w:p w14:paraId="47A3E5A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117,083,974,834</w:t>
            </w:r>
          </w:p>
        </w:tc>
        <w:tc>
          <w:tcPr>
            <w:tcW w:w="1492" w:type="dxa"/>
            <w:shd w:val="clear" w:color="auto" w:fill="auto"/>
            <w:noWrap/>
            <w:hideMark/>
          </w:tcPr>
          <w:p w14:paraId="75AD725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A090C9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18A31B6" w14:textId="77777777" w:rsidTr="00C10263">
        <w:trPr>
          <w:trHeight w:val="255"/>
          <w:jc w:val="center"/>
        </w:trPr>
        <w:tc>
          <w:tcPr>
            <w:tcW w:w="307" w:type="dxa"/>
            <w:shd w:val="clear" w:color="000000" w:fill="FFFFFF"/>
            <w:noWrap/>
            <w:hideMark/>
          </w:tcPr>
          <w:p w14:paraId="4943743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BCDD7D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2DF257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8.1.2</w:t>
            </w:r>
          </w:p>
        </w:tc>
        <w:tc>
          <w:tcPr>
            <w:tcW w:w="3923" w:type="dxa"/>
            <w:gridSpan w:val="3"/>
            <w:shd w:val="clear" w:color="000000" w:fill="FFFFFF"/>
            <w:noWrap/>
            <w:hideMark/>
          </w:tcPr>
          <w:p w14:paraId="25ADC49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Fiscalización y Recaudación.</w:t>
            </w:r>
          </w:p>
        </w:tc>
        <w:tc>
          <w:tcPr>
            <w:tcW w:w="1566" w:type="dxa"/>
            <w:shd w:val="clear" w:color="000000" w:fill="FFFFFF"/>
            <w:noWrap/>
            <w:hideMark/>
          </w:tcPr>
          <w:p w14:paraId="165C883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6,167,004,117</w:t>
            </w:r>
          </w:p>
        </w:tc>
        <w:tc>
          <w:tcPr>
            <w:tcW w:w="1492" w:type="dxa"/>
            <w:shd w:val="clear" w:color="auto" w:fill="auto"/>
            <w:noWrap/>
            <w:hideMark/>
          </w:tcPr>
          <w:p w14:paraId="76E25CE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512E93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616091B" w14:textId="77777777" w:rsidTr="00C10263">
        <w:trPr>
          <w:trHeight w:val="255"/>
          <w:jc w:val="center"/>
        </w:trPr>
        <w:tc>
          <w:tcPr>
            <w:tcW w:w="307" w:type="dxa"/>
            <w:shd w:val="clear" w:color="000000" w:fill="FFFFFF"/>
            <w:noWrap/>
            <w:hideMark/>
          </w:tcPr>
          <w:p w14:paraId="4DA1CC3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3241D3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B80B8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8.1.3</w:t>
            </w:r>
          </w:p>
        </w:tc>
        <w:tc>
          <w:tcPr>
            <w:tcW w:w="3923" w:type="dxa"/>
            <w:gridSpan w:val="3"/>
            <w:shd w:val="clear" w:color="000000" w:fill="FFFFFF"/>
            <w:noWrap/>
            <w:hideMark/>
          </w:tcPr>
          <w:p w14:paraId="04205B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Fomento Municipal.</w:t>
            </w:r>
          </w:p>
        </w:tc>
        <w:tc>
          <w:tcPr>
            <w:tcW w:w="1566" w:type="dxa"/>
            <w:shd w:val="clear" w:color="000000" w:fill="FFFFFF"/>
            <w:noWrap/>
            <w:hideMark/>
          </w:tcPr>
          <w:p w14:paraId="686DB17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4,580,603,466</w:t>
            </w:r>
          </w:p>
        </w:tc>
        <w:tc>
          <w:tcPr>
            <w:tcW w:w="1492" w:type="dxa"/>
            <w:shd w:val="clear" w:color="auto" w:fill="auto"/>
            <w:noWrap/>
            <w:hideMark/>
          </w:tcPr>
          <w:p w14:paraId="533E09B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E0738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B12DF1F" w14:textId="77777777" w:rsidTr="00C10263">
        <w:trPr>
          <w:trHeight w:val="510"/>
          <w:jc w:val="center"/>
        </w:trPr>
        <w:tc>
          <w:tcPr>
            <w:tcW w:w="307" w:type="dxa"/>
            <w:shd w:val="clear" w:color="000000" w:fill="FFFFFF"/>
            <w:noWrap/>
            <w:hideMark/>
          </w:tcPr>
          <w:p w14:paraId="56683CD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7F374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1CB1AA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8.1.4</w:t>
            </w:r>
          </w:p>
        </w:tc>
        <w:tc>
          <w:tcPr>
            <w:tcW w:w="3923" w:type="dxa"/>
            <w:gridSpan w:val="3"/>
            <w:shd w:val="clear" w:color="000000" w:fill="FFFFFF"/>
            <w:noWrap/>
            <w:hideMark/>
          </w:tcPr>
          <w:p w14:paraId="77C9E21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Participaciones en Impuesto Especial sobre Producción y Servicios.</w:t>
            </w:r>
          </w:p>
        </w:tc>
        <w:tc>
          <w:tcPr>
            <w:tcW w:w="1566" w:type="dxa"/>
            <w:shd w:val="clear" w:color="000000" w:fill="FFFFFF"/>
            <w:noWrap/>
            <w:hideMark/>
          </w:tcPr>
          <w:p w14:paraId="16F458E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1,978,128,448</w:t>
            </w:r>
          </w:p>
        </w:tc>
        <w:tc>
          <w:tcPr>
            <w:tcW w:w="1492" w:type="dxa"/>
            <w:shd w:val="clear" w:color="auto" w:fill="auto"/>
            <w:noWrap/>
            <w:hideMark/>
          </w:tcPr>
          <w:p w14:paraId="3702DB1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39C37B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EABCB7F" w14:textId="77777777" w:rsidTr="00C10263">
        <w:trPr>
          <w:trHeight w:val="255"/>
          <w:jc w:val="center"/>
        </w:trPr>
        <w:tc>
          <w:tcPr>
            <w:tcW w:w="307" w:type="dxa"/>
            <w:shd w:val="clear" w:color="000000" w:fill="FFFFFF"/>
            <w:noWrap/>
            <w:hideMark/>
          </w:tcPr>
          <w:p w14:paraId="3E06681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6D47DF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0F25D3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8.1.5</w:t>
            </w:r>
          </w:p>
        </w:tc>
        <w:tc>
          <w:tcPr>
            <w:tcW w:w="3923" w:type="dxa"/>
            <w:gridSpan w:val="3"/>
            <w:shd w:val="clear" w:color="000000" w:fill="FFFFFF"/>
            <w:noWrap/>
            <w:hideMark/>
          </w:tcPr>
          <w:p w14:paraId="1CEF5FC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Compensación.</w:t>
            </w:r>
          </w:p>
        </w:tc>
        <w:tc>
          <w:tcPr>
            <w:tcW w:w="1566" w:type="dxa"/>
            <w:shd w:val="clear" w:color="000000" w:fill="FFFFFF"/>
            <w:noWrap/>
            <w:hideMark/>
          </w:tcPr>
          <w:p w14:paraId="26390EF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383,858,536</w:t>
            </w:r>
          </w:p>
        </w:tc>
        <w:tc>
          <w:tcPr>
            <w:tcW w:w="1492" w:type="dxa"/>
            <w:shd w:val="clear" w:color="auto" w:fill="auto"/>
            <w:noWrap/>
            <w:hideMark/>
          </w:tcPr>
          <w:p w14:paraId="75FFAE6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CD2D11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BE131ED" w14:textId="77777777" w:rsidTr="00C10263">
        <w:trPr>
          <w:trHeight w:val="255"/>
          <w:jc w:val="center"/>
        </w:trPr>
        <w:tc>
          <w:tcPr>
            <w:tcW w:w="307" w:type="dxa"/>
            <w:shd w:val="clear" w:color="000000" w:fill="FFFFFF"/>
            <w:noWrap/>
            <w:hideMark/>
          </w:tcPr>
          <w:p w14:paraId="4FAAC23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4EAAF2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A4E0A7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8.1.6</w:t>
            </w:r>
          </w:p>
        </w:tc>
        <w:tc>
          <w:tcPr>
            <w:tcW w:w="3923" w:type="dxa"/>
            <w:gridSpan w:val="3"/>
            <w:shd w:val="clear" w:color="000000" w:fill="FFFFFF"/>
            <w:noWrap/>
            <w:hideMark/>
          </w:tcPr>
          <w:p w14:paraId="3EF5346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Impuesto sobre la Renta Participable:</w:t>
            </w:r>
          </w:p>
        </w:tc>
        <w:tc>
          <w:tcPr>
            <w:tcW w:w="1566" w:type="dxa"/>
            <w:shd w:val="clear" w:color="000000" w:fill="FFFFFF"/>
            <w:noWrap/>
            <w:hideMark/>
          </w:tcPr>
          <w:p w14:paraId="5FE828D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14,242,069,621</w:t>
            </w:r>
          </w:p>
        </w:tc>
        <w:tc>
          <w:tcPr>
            <w:tcW w:w="1492" w:type="dxa"/>
            <w:shd w:val="clear" w:color="auto" w:fill="auto"/>
            <w:noWrap/>
            <w:hideMark/>
          </w:tcPr>
          <w:p w14:paraId="6873764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08D682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4B5137D" w14:textId="77777777" w:rsidTr="00C10263">
        <w:trPr>
          <w:trHeight w:val="255"/>
          <w:jc w:val="center"/>
        </w:trPr>
        <w:tc>
          <w:tcPr>
            <w:tcW w:w="307" w:type="dxa"/>
            <w:shd w:val="clear" w:color="000000" w:fill="FFFFFF"/>
            <w:noWrap/>
            <w:hideMark/>
          </w:tcPr>
          <w:p w14:paraId="49452C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DD4E79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BC6CA9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456678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8.1.6.1</w:t>
            </w:r>
          </w:p>
        </w:tc>
        <w:tc>
          <w:tcPr>
            <w:tcW w:w="3073" w:type="dxa"/>
            <w:gridSpan w:val="2"/>
            <w:shd w:val="clear" w:color="000000" w:fill="FFFFFF"/>
            <w:noWrap/>
            <w:hideMark/>
          </w:tcPr>
          <w:p w14:paraId="41CDB4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Estatal.</w:t>
            </w:r>
          </w:p>
        </w:tc>
        <w:tc>
          <w:tcPr>
            <w:tcW w:w="1566" w:type="dxa"/>
            <w:shd w:val="clear" w:color="000000" w:fill="FFFFFF"/>
            <w:noWrap/>
            <w:hideMark/>
          </w:tcPr>
          <w:p w14:paraId="0B99318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10,628,782,372</w:t>
            </w:r>
          </w:p>
        </w:tc>
        <w:tc>
          <w:tcPr>
            <w:tcW w:w="1492" w:type="dxa"/>
            <w:shd w:val="clear" w:color="auto" w:fill="auto"/>
            <w:noWrap/>
            <w:hideMark/>
          </w:tcPr>
          <w:p w14:paraId="0F0D07D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1F2A51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3BA53E5" w14:textId="77777777" w:rsidTr="00C10263">
        <w:trPr>
          <w:trHeight w:val="255"/>
          <w:jc w:val="center"/>
        </w:trPr>
        <w:tc>
          <w:tcPr>
            <w:tcW w:w="307" w:type="dxa"/>
            <w:shd w:val="clear" w:color="000000" w:fill="FFFFFF"/>
            <w:noWrap/>
            <w:hideMark/>
          </w:tcPr>
          <w:p w14:paraId="41B986F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57B99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1B9F9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6B0724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8.1.6.2</w:t>
            </w:r>
          </w:p>
        </w:tc>
        <w:tc>
          <w:tcPr>
            <w:tcW w:w="3073" w:type="dxa"/>
            <w:gridSpan w:val="2"/>
            <w:shd w:val="clear" w:color="000000" w:fill="FFFFFF"/>
            <w:noWrap/>
            <w:hideMark/>
          </w:tcPr>
          <w:p w14:paraId="3A1CFB1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Municipal.</w:t>
            </w:r>
          </w:p>
        </w:tc>
        <w:tc>
          <w:tcPr>
            <w:tcW w:w="1566" w:type="dxa"/>
            <w:shd w:val="clear" w:color="000000" w:fill="FFFFFF"/>
            <w:noWrap/>
            <w:hideMark/>
          </w:tcPr>
          <w:p w14:paraId="04DA61E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3,613,287,249</w:t>
            </w:r>
          </w:p>
        </w:tc>
        <w:tc>
          <w:tcPr>
            <w:tcW w:w="1492" w:type="dxa"/>
            <w:shd w:val="clear" w:color="auto" w:fill="auto"/>
            <w:noWrap/>
            <w:hideMark/>
          </w:tcPr>
          <w:p w14:paraId="48EA90A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9BBC67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EABA1A0" w14:textId="77777777" w:rsidTr="00C10263">
        <w:trPr>
          <w:trHeight w:val="255"/>
          <w:jc w:val="center"/>
        </w:trPr>
        <w:tc>
          <w:tcPr>
            <w:tcW w:w="307" w:type="dxa"/>
            <w:shd w:val="clear" w:color="000000" w:fill="FFFFFF"/>
            <w:noWrap/>
            <w:hideMark/>
          </w:tcPr>
          <w:p w14:paraId="7E3151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5166F3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w:t>
            </w:r>
          </w:p>
        </w:tc>
        <w:tc>
          <w:tcPr>
            <w:tcW w:w="4562" w:type="dxa"/>
            <w:gridSpan w:val="4"/>
            <w:shd w:val="clear" w:color="000000" w:fill="FFFFFF"/>
            <w:noWrap/>
            <w:hideMark/>
          </w:tcPr>
          <w:p w14:paraId="08B5CB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Aportaciones:</w:t>
            </w:r>
          </w:p>
        </w:tc>
        <w:tc>
          <w:tcPr>
            <w:tcW w:w="1566" w:type="dxa"/>
            <w:shd w:val="clear" w:color="000000" w:fill="FFFFFF"/>
            <w:noWrap/>
            <w:hideMark/>
          </w:tcPr>
          <w:p w14:paraId="4157649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98,003,409,659</w:t>
            </w:r>
          </w:p>
        </w:tc>
        <w:tc>
          <w:tcPr>
            <w:tcW w:w="1492" w:type="dxa"/>
            <w:shd w:val="clear" w:color="auto" w:fill="auto"/>
            <w:noWrap/>
            <w:hideMark/>
          </w:tcPr>
          <w:p w14:paraId="50BBB44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BFFC81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0F040D1" w14:textId="77777777" w:rsidTr="00C10263">
        <w:trPr>
          <w:trHeight w:val="540"/>
          <w:jc w:val="center"/>
        </w:trPr>
        <w:tc>
          <w:tcPr>
            <w:tcW w:w="307" w:type="dxa"/>
            <w:shd w:val="clear" w:color="000000" w:fill="FFFFFF"/>
            <w:noWrap/>
            <w:hideMark/>
          </w:tcPr>
          <w:p w14:paraId="0964425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6525E9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104D12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8.2.1</w:t>
            </w:r>
          </w:p>
        </w:tc>
        <w:tc>
          <w:tcPr>
            <w:tcW w:w="3923" w:type="dxa"/>
            <w:gridSpan w:val="3"/>
            <w:shd w:val="clear" w:color="000000" w:fill="FFFFFF"/>
            <w:noWrap/>
            <w:hideMark/>
          </w:tcPr>
          <w:p w14:paraId="30D7B0E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para la Nómina Educativa y Gasto Operativo (FONE):</w:t>
            </w:r>
          </w:p>
        </w:tc>
        <w:tc>
          <w:tcPr>
            <w:tcW w:w="1566" w:type="dxa"/>
            <w:shd w:val="clear" w:color="000000" w:fill="FFFFFF"/>
            <w:noWrap/>
            <w:hideMark/>
          </w:tcPr>
          <w:p w14:paraId="5DA9BC6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45,689,692,566</w:t>
            </w:r>
          </w:p>
        </w:tc>
        <w:tc>
          <w:tcPr>
            <w:tcW w:w="1492" w:type="dxa"/>
            <w:shd w:val="clear" w:color="auto" w:fill="auto"/>
            <w:noWrap/>
            <w:hideMark/>
          </w:tcPr>
          <w:p w14:paraId="53AD626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DA57E6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EEB4023" w14:textId="77777777" w:rsidTr="00C10263">
        <w:trPr>
          <w:trHeight w:val="255"/>
          <w:jc w:val="center"/>
        </w:trPr>
        <w:tc>
          <w:tcPr>
            <w:tcW w:w="307" w:type="dxa"/>
            <w:shd w:val="clear" w:color="000000" w:fill="FFFFFF"/>
            <w:noWrap/>
            <w:hideMark/>
          </w:tcPr>
          <w:p w14:paraId="6BF3594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1B40F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3CFB2D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20CF4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8.2.1.1</w:t>
            </w:r>
          </w:p>
        </w:tc>
        <w:tc>
          <w:tcPr>
            <w:tcW w:w="3073" w:type="dxa"/>
            <w:gridSpan w:val="2"/>
            <w:shd w:val="clear" w:color="000000" w:fill="FFFFFF"/>
            <w:noWrap/>
            <w:hideMark/>
          </w:tcPr>
          <w:p w14:paraId="7604A35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Servicios Personales.</w:t>
            </w:r>
          </w:p>
        </w:tc>
        <w:tc>
          <w:tcPr>
            <w:tcW w:w="1566" w:type="dxa"/>
            <w:shd w:val="clear" w:color="000000" w:fill="FFFFFF"/>
            <w:noWrap/>
            <w:hideMark/>
          </w:tcPr>
          <w:p w14:paraId="2AFAD5D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34,177,482,117</w:t>
            </w:r>
          </w:p>
        </w:tc>
        <w:tc>
          <w:tcPr>
            <w:tcW w:w="1492" w:type="dxa"/>
            <w:shd w:val="clear" w:color="auto" w:fill="auto"/>
            <w:noWrap/>
            <w:hideMark/>
          </w:tcPr>
          <w:p w14:paraId="73E94F9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8A0766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AA2DDD0" w14:textId="77777777" w:rsidTr="00C10263">
        <w:trPr>
          <w:trHeight w:val="255"/>
          <w:jc w:val="center"/>
        </w:trPr>
        <w:tc>
          <w:tcPr>
            <w:tcW w:w="307" w:type="dxa"/>
            <w:shd w:val="clear" w:color="000000" w:fill="FFFFFF"/>
            <w:noWrap/>
            <w:hideMark/>
          </w:tcPr>
          <w:p w14:paraId="420835B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0016D6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1CE93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CF2381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8.2.1.2</w:t>
            </w:r>
          </w:p>
        </w:tc>
        <w:tc>
          <w:tcPr>
            <w:tcW w:w="3073" w:type="dxa"/>
            <w:gridSpan w:val="2"/>
            <w:shd w:val="clear" w:color="000000" w:fill="FFFFFF"/>
            <w:noWrap/>
            <w:hideMark/>
          </w:tcPr>
          <w:p w14:paraId="035E8A0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de Gasto Corriente.</w:t>
            </w:r>
          </w:p>
        </w:tc>
        <w:tc>
          <w:tcPr>
            <w:tcW w:w="1566" w:type="dxa"/>
            <w:shd w:val="clear" w:color="000000" w:fill="FFFFFF"/>
            <w:noWrap/>
            <w:hideMark/>
          </w:tcPr>
          <w:p w14:paraId="5CE2B0F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733,134,783</w:t>
            </w:r>
          </w:p>
        </w:tc>
        <w:tc>
          <w:tcPr>
            <w:tcW w:w="1492" w:type="dxa"/>
            <w:shd w:val="clear" w:color="auto" w:fill="auto"/>
            <w:noWrap/>
            <w:hideMark/>
          </w:tcPr>
          <w:p w14:paraId="7FAC064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57A29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146C119" w14:textId="77777777" w:rsidTr="00C10263">
        <w:trPr>
          <w:trHeight w:val="255"/>
          <w:jc w:val="center"/>
        </w:trPr>
        <w:tc>
          <w:tcPr>
            <w:tcW w:w="307" w:type="dxa"/>
            <w:shd w:val="clear" w:color="000000" w:fill="FFFFFF"/>
            <w:noWrap/>
            <w:hideMark/>
          </w:tcPr>
          <w:p w14:paraId="152458D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E70251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F4CA5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A77C7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8.2.1.3</w:t>
            </w:r>
          </w:p>
        </w:tc>
        <w:tc>
          <w:tcPr>
            <w:tcW w:w="3073" w:type="dxa"/>
            <w:gridSpan w:val="2"/>
            <w:shd w:val="clear" w:color="000000" w:fill="FFFFFF"/>
            <w:noWrap/>
            <w:hideMark/>
          </w:tcPr>
          <w:p w14:paraId="4038B21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Gasto de Operación.</w:t>
            </w:r>
          </w:p>
        </w:tc>
        <w:tc>
          <w:tcPr>
            <w:tcW w:w="1566" w:type="dxa"/>
            <w:shd w:val="clear" w:color="000000" w:fill="FFFFFF"/>
            <w:noWrap/>
            <w:hideMark/>
          </w:tcPr>
          <w:p w14:paraId="5A14825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3,516,229,480</w:t>
            </w:r>
          </w:p>
        </w:tc>
        <w:tc>
          <w:tcPr>
            <w:tcW w:w="1492" w:type="dxa"/>
            <w:shd w:val="clear" w:color="auto" w:fill="auto"/>
            <w:noWrap/>
            <w:hideMark/>
          </w:tcPr>
          <w:p w14:paraId="5FD9B5C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E1F49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50E8B1D" w14:textId="77777777" w:rsidTr="00C10263">
        <w:trPr>
          <w:trHeight w:val="255"/>
          <w:jc w:val="center"/>
        </w:trPr>
        <w:tc>
          <w:tcPr>
            <w:tcW w:w="307" w:type="dxa"/>
            <w:shd w:val="clear" w:color="000000" w:fill="FFFFFF"/>
            <w:noWrap/>
            <w:hideMark/>
          </w:tcPr>
          <w:p w14:paraId="226ACB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5FC8BE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491445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3F7827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8.2.1.4</w:t>
            </w:r>
          </w:p>
        </w:tc>
        <w:tc>
          <w:tcPr>
            <w:tcW w:w="3073" w:type="dxa"/>
            <w:gridSpan w:val="2"/>
            <w:shd w:val="clear" w:color="000000" w:fill="FFFFFF"/>
            <w:noWrap/>
            <w:hideMark/>
          </w:tcPr>
          <w:p w14:paraId="4954E65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Compensación.</w:t>
            </w:r>
          </w:p>
        </w:tc>
        <w:tc>
          <w:tcPr>
            <w:tcW w:w="1566" w:type="dxa"/>
            <w:shd w:val="clear" w:color="000000" w:fill="FFFFFF"/>
            <w:noWrap/>
            <w:hideMark/>
          </w:tcPr>
          <w:p w14:paraId="5916ADD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7,262,846,186</w:t>
            </w:r>
          </w:p>
        </w:tc>
        <w:tc>
          <w:tcPr>
            <w:tcW w:w="1492" w:type="dxa"/>
            <w:shd w:val="clear" w:color="auto" w:fill="auto"/>
            <w:noWrap/>
            <w:hideMark/>
          </w:tcPr>
          <w:p w14:paraId="5618F1F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60691A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9BF73BF" w14:textId="77777777" w:rsidTr="00C10263">
        <w:trPr>
          <w:trHeight w:val="570"/>
          <w:jc w:val="center"/>
        </w:trPr>
        <w:tc>
          <w:tcPr>
            <w:tcW w:w="307" w:type="dxa"/>
            <w:shd w:val="clear" w:color="000000" w:fill="FFFFFF"/>
            <w:noWrap/>
            <w:hideMark/>
          </w:tcPr>
          <w:p w14:paraId="69FB8A0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1EB657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E9F88A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8.2.2</w:t>
            </w:r>
          </w:p>
        </w:tc>
        <w:tc>
          <w:tcPr>
            <w:tcW w:w="3923" w:type="dxa"/>
            <w:gridSpan w:val="3"/>
            <w:shd w:val="clear" w:color="000000" w:fill="FFFFFF"/>
            <w:noWrap/>
            <w:hideMark/>
          </w:tcPr>
          <w:p w14:paraId="794A38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para los Servicios de Salud (FASSA).</w:t>
            </w:r>
          </w:p>
        </w:tc>
        <w:tc>
          <w:tcPr>
            <w:tcW w:w="1566" w:type="dxa"/>
            <w:shd w:val="clear" w:color="000000" w:fill="FFFFFF"/>
            <w:noWrap/>
            <w:hideMark/>
          </w:tcPr>
          <w:p w14:paraId="2F54116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13,090,604,738</w:t>
            </w:r>
          </w:p>
        </w:tc>
        <w:tc>
          <w:tcPr>
            <w:tcW w:w="1492" w:type="dxa"/>
            <w:shd w:val="clear" w:color="auto" w:fill="auto"/>
            <w:noWrap/>
            <w:hideMark/>
          </w:tcPr>
          <w:p w14:paraId="472D54F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12093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F6DC029" w14:textId="77777777" w:rsidTr="00C10263">
        <w:trPr>
          <w:trHeight w:val="540"/>
          <w:jc w:val="center"/>
        </w:trPr>
        <w:tc>
          <w:tcPr>
            <w:tcW w:w="307" w:type="dxa"/>
            <w:shd w:val="clear" w:color="000000" w:fill="FFFFFF"/>
            <w:noWrap/>
            <w:hideMark/>
          </w:tcPr>
          <w:p w14:paraId="50C8358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BB9B53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E6AA6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8.2.3</w:t>
            </w:r>
          </w:p>
        </w:tc>
        <w:tc>
          <w:tcPr>
            <w:tcW w:w="3923" w:type="dxa"/>
            <w:gridSpan w:val="3"/>
            <w:shd w:val="clear" w:color="000000" w:fill="FFFFFF"/>
            <w:noWrap/>
            <w:hideMark/>
          </w:tcPr>
          <w:p w14:paraId="2C70FF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para la Infraestructura Social (FAIS):</w:t>
            </w:r>
          </w:p>
        </w:tc>
        <w:tc>
          <w:tcPr>
            <w:tcW w:w="1566" w:type="dxa"/>
            <w:shd w:val="clear" w:color="000000" w:fill="FFFFFF"/>
            <w:noWrap/>
            <w:hideMark/>
          </w:tcPr>
          <w:p w14:paraId="060FC64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9,577,424,862</w:t>
            </w:r>
          </w:p>
        </w:tc>
        <w:tc>
          <w:tcPr>
            <w:tcW w:w="1492" w:type="dxa"/>
            <w:shd w:val="clear" w:color="auto" w:fill="auto"/>
            <w:noWrap/>
            <w:hideMark/>
          </w:tcPr>
          <w:p w14:paraId="2636A31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91B17D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6CC16B2" w14:textId="77777777" w:rsidTr="00C10263">
        <w:trPr>
          <w:trHeight w:val="255"/>
          <w:jc w:val="center"/>
        </w:trPr>
        <w:tc>
          <w:tcPr>
            <w:tcW w:w="307" w:type="dxa"/>
            <w:shd w:val="clear" w:color="000000" w:fill="FFFFFF"/>
            <w:noWrap/>
            <w:hideMark/>
          </w:tcPr>
          <w:p w14:paraId="7071BB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63EE90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67DF8D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9BF7D3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8.2.3.1</w:t>
            </w:r>
          </w:p>
        </w:tc>
        <w:tc>
          <w:tcPr>
            <w:tcW w:w="3073" w:type="dxa"/>
            <w:gridSpan w:val="2"/>
            <w:shd w:val="clear" w:color="000000" w:fill="FFFFFF"/>
            <w:noWrap/>
            <w:hideMark/>
          </w:tcPr>
          <w:p w14:paraId="723444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Estatal.</w:t>
            </w:r>
          </w:p>
        </w:tc>
        <w:tc>
          <w:tcPr>
            <w:tcW w:w="1566" w:type="dxa"/>
            <w:shd w:val="clear" w:color="000000" w:fill="FFFFFF"/>
            <w:noWrap/>
            <w:hideMark/>
          </w:tcPr>
          <w:p w14:paraId="5A3BB7E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1,160,922,931</w:t>
            </w:r>
          </w:p>
        </w:tc>
        <w:tc>
          <w:tcPr>
            <w:tcW w:w="1492" w:type="dxa"/>
            <w:shd w:val="clear" w:color="auto" w:fill="auto"/>
            <w:noWrap/>
            <w:hideMark/>
          </w:tcPr>
          <w:p w14:paraId="400AF9F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023C1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7AA1ED4" w14:textId="77777777" w:rsidTr="00C10263">
        <w:trPr>
          <w:trHeight w:val="255"/>
          <w:jc w:val="center"/>
        </w:trPr>
        <w:tc>
          <w:tcPr>
            <w:tcW w:w="307" w:type="dxa"/>
            <w:shd w:val="clear" w:color="000000" w:fill="FFFFFF"/>
            <w:noWrap/>
            <w:hideMark/>
          </w:tcPr>
          <w:p w14:paraId="0E8F9C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6815EE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C2228C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583D70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8.2.3.2</w:t>
            </w:r>
          </w:p>
        </w:tc>
        <w:tc>
          <w:tcPr>
            <w:tcW w:w="3073" w:type="dxa"/>
            <w:gridSpan w:val="2"/>
            <w:shd w:val="clear" w:color="000000" w:fill="FFFFFF"/>
            <w:noWrap/>
            <w:hideMark/>
          </w:tcPr>
          <w:p w14:paraId="0DDCF4D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Municipal.</w:t>
            </w:r>
          </w:p>
        </w:tc>
        <w:tc>
          <w:tcPr>
            <w:tcW w:w="1566" w:type="dxa"/>
            <w:shd w:val="clear" w:color="000000" w:fill="FFFFFF"/>
            <w:noWrap/>
            <w:hideMark/>
          </w:tcPr>
          <w:p w14:paraId="70AAD3DE"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8,416,501,931</w:t>
            </w:r>
          </w:p>
        </w:tc>
        <w:tc>
          <w:tcPr>
            <w:tcW w:w="1492" w:type="dxa"/>
            <w:shd w:val="clear" w:color="auto" w:fill="auto"/>
            <w:noWrap/>
            <w:hideMark/>
          </w:tcPr>
          <w:p w14:paraId="648EE914"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99080C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1DDB0F9" w14:textId="77777777" w:rsidTr="00C10263">
        <w:trPr>
          <w:trHeight w:val="635"/>
          <w:jc w:val="center"/>
        </w:trPr>
        <w:tc>
          <w:tcPr>
            <w:tcW w:w="307" w:type="dxa"/>
            <w:shd w:val="clear" w:color="000000" w:fill="FFFFFF"/>
            <w:noWrap/>
            <w:hideMark/>
          </w:tcPr>
          <w:p w14:paraId="746D632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38111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986690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8.2.4</w:t>
            </w:r>
          </w:p>
        </w:tc>
        <w:tc>
          <w:tcPr>
            <w:tcW w:w="3923" w:type="dxa"/>
            <w:gridSpan w:val="3"/>
            <w:shd w:val="clear" w:color="000000" w:fill="FFFFFF"/>
            <w:noWrap/>
            <w:hideMark/>
          </w:tcPr>
          <w:p w14:paraId="2477F0A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para el Fortalecimiento de los Municipios y de las Demarcaciones Territoriales del Distrito Federal (FORTAMUN).</w:t>
            </w:r>
          </w:p>
        </w:tc>
        <w:tc>
          <w:tcPr>
            <w:tcW w:w="1566" w:type="dxa"/>
            <w:shd w:val="clear" w:color="000000" w:fill="FFFFFF"/>
            <w:noWrap/>
            <w:hideMark/>
          </w:tcPr>
          <w:p w14:paraId="28574E7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15,110,775,926</w:t>
            </w:r>
          </w:p>
        </w:tc>
        <w:tc>
          <w:tcPr>
            <w:tcW w:w="1492" w:type="dxa"/>
            <w:shd w:val="clear" w:color="auto" w:fill="auto"/>
            <w:noWrap/>
            <w:hideMark/>
          </w:tcPr>
          <w:p w14:paraId="38692BD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5C42C2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ADFC49A" w14:textId="77777777" w:rsidTr="00C10263">
        <w:trPr>
          <w:trHeight w:val="255"/>
          <w:jc w:val="center"/>
        </w:trPr>
        <w:tc>
          <w:tcPr>
            <w:tcW w:w="307" w:type="dxa"/>
            <w:shd w:val="clear" w:color="000000" w:fill="FFFFFF"/>
            <w:noWrap/>
            <w:hideMark/>
          </w:tcPr>
          <w:p w14:paraId="70DB292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2C5CD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97034E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8.2.5</w:t>
            </w:r>
          </w:p>
        </w:tc>
        <w:tc>
          <w:tcPr>
            <w:tcW w:w="3923" w:type="dxa"/>
            <w:gridSpan w:val="3"/>
            <w:shd w:val="clear" w:color="000000" w:fill="FFFFFF"/>
            <w:noWrap/>
            <w:hideMark/>
          </w:tcPr>
          <w:p w14:paraId="00AA273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Múltiples (FAM):</w:t>
            </w:r>
          </w:p>
        </w:tc>
        <w:tc>
          <w:tcPr>
            <w:tcW w:w="1566" w:type="dxa"/>
            <w:shd w:val="clear" w:color="000000" w:fill="FFFFFF"/>
            <w:noWrap/>
            <w:hideMark/>
          </w:tcPr>
          <w:p w14:paraId="1AAFEDCF"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3,406,707,490</w:t>
            </w:r>
          </w:p>
        </w:tc>
        <w:tc>
          <w:tcPr>
            <w:tcW w:w="1492" w:type="dxa"/>
            <w:shd w:val="clear" w:color="auto" w:fill="auto"/>
            <w:noWrap/>
            <w:hideMark/>
          </w:tcPr>
          <w:p w14:paraId="6A42DCD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21F03C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C0F814F" w14:textId="77777777" w:rsidTr="00C10263">
        <w:trPr>
          <w:trHeight w:val="255"/>
          <w:jc w:val="center"/>
        </w:trPr>
        <w:tc>
          <w:tcPr>
            <w:tcW w:w="307" w:type="dxa"/>
            <w:shd w:val="clear" w:color="000000" w:fill="FFFFFF"/>
            <w:noWrap/>
            <w:hideMark/>
          </w:tcPr>
          <w:p w14:paraId="1586185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460BDF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E655A7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314C72F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8.2.5.1</w:t>
            </w:r>
          </w:p>
        </w:tc>
        <w:tc>
          <w:tcPr>
            <w:tcW w:w="3073" w:type="dxa"/>
            <w:gridSpan w:val="2"/>
            <w:shd w:val="clear" w:color="000000" w:fill="FFFFFF"/>
            <w:noWrap/>
            <w:hideMark/>
          </w:tcPr>
          <w:p w14:paraId="5CE3C24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Asistencia Social.</w:t>
            </w:r>
          </w:p>
        </w:tc>
        <w:tc>
          <w:tcPr>
            <w:tcW w:w="1566" w:type="dxa"/>
            <w:shd w:val="clear" w:color="000000" w:fill="FFFFFF"/>
            <w:noWrap/>
            <w:hideMark/>
          </w:tcPr>
          <w:p w14:paraId="28A1E9E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1,774,369,481</w:t>
            </w:r>
          </w:p>
        </w:tc>
        <w:tc>
          <w:tcPr>
            <w:tcW w:w="1492" w:type="dxa"/>
            <w:shd w:val="clear" w:color="auto" w:fill="auto"/>
            <w:noWrap/>
            <w:hideMark/>
          </w:tcPr>
          <w:p w14:paraId="6696116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626DD9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43F6B31" w14:textId="77777777" w:rsidTr="00C10263">
        <w:trPr>
          <w:trHeight w:val="255"/>
          <w:jc w:val="center"/>
        </w:trPr>
        <w:tc>
          <w:tcPr>
            <w:tcW w:w="307" w:type="dxa"/>
            <w:shd w:val="clear" w:color="000000" w:fill="FFFFFF"/>
            <w:noWrap/>
            <w:hideMark/>
          </w:tcPr>
          <w:p w14:paraId="39E087E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5CB228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CF78A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F86503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8.2.5.2</w:t>
            </w:r>
          </w:p>
        </w:tc>
        <w:tc>
          <w:tcPr>
            <w:tcW w:w="3073" w:type="dxa"/>
            <w:gridSpan w:val="2"/>
            <w:shd w:val="clear" w:color="000000" w:fill="FFFFFF"/>
            <w:noWrap/>
            <w:hideMark/>
          </w:tcPr>
          <w:p w14:paraId="2EC109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Infraestructura Educativa Básica.</w:t>
            </w:r>
          </w:p>
        </w:tc>
        <w:tc>
          <w:tcPr>
            <w:tcW w:w="1566" w:type="dxa"/>
            <w:shd w:val="clear" w:color="000000" w:fill="FFFFFF"/>
            <w:noWrap/>
            <w:hideMark/>
          </w:tcPr>
          <w:p w14:paraId="3E938F9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1,102,686,641</w:t>
            </w:r>
          </w:p>
        </w:tc>
        <w:tc>
          <w:tcPr>
            <w:tcW w:w="1492" w:type="dxa"/>
            <w:shd w:val="clear" w:color="auto" w:fill="auto"/>
            <w:noWrap/>
            <w:hideMark/>
          </w:tcPr>
          <w:p w14:paraId="3DF74F8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3B3653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218ED6E" w14:textId="77777777" w:rsidTr="00C10263">
        <w:trPr>
          <w:trHeight w:val="510"/>
          <w:jc w:val="center"/>
        </w:trPr>
        <w:tc>
          <w:tcPr>
            <w:tcW w:w="307" w:type="dxa"/>
            <w:shd w:val="clear" w:color="000000" w:fill="FFFFFF"/>
            <w:noWrap/>
            <w:hideMark/>
          </w:tcPr>
          <w:p w14:paraId="2FFFF9B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A1B9CD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05C1F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921D0C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8.2.5.3</w:t>
            </w:r>
          </w:p>
        </w:tc>
        <w:tc>
          <w:tcPr>
            <w:tcW w:w="3073" w:type="dxa"/>
            <w:gridSpan w:val="2"/>
            <w:shd w:val="clear" w:color="000000" w:fill="FFFFFF"/>
            <w:noWrap/>
            <w:hideMark/>
          </w:tcPr>
          <w:p w14:paraId="315271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Infraestructura Educativa Media Superior.</w:t>
            </w:r>
          </w:p>
        </w:tc>
        <w:tc>
          <w:tcPr>
            <w:tcW w:w="1566" w:type="dxa"/>
            <w:shd w:val="clear" w:color="000000" w:fill="FFFFFF"/>
            <w:noWrap/>
            <w:hideMark/>
          </w:tcPr>
          <w:p w14:paraId="42DFD37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150,835,496</w:t>
            </w:r>
          </w:p>
        </w:tc>
        <w:tc>
          <w:tcPr>
            <w:tcW w:w="1492" w:type="dxa"/>
            <w:shd w:val="clear" w:color="auto" w:fill="auto"/>
            <w:noWrap/>
            <w:hideMark/>
          </w:tcPr>
          <w:p w14:paraId="1FC0390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C57746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11B3789" w14:textId="77777777" w:rsidTr="00C10263">
        <w:trPr>
          <w:trHeight w:val="218"/>
          <w:jc w:val="center"/>
        </w:trPr>
        <w:tc>
          <w:tcPr>
            <w:tcW w:w="307" w:type="dxa"/>
            <w:shd w:val="clear" w:color="000000" w:fill="FFFFFF"/>
            <w:noWrap/>
            <w:hideMark/>
          </w:tcPr>
          <w:p w14:paraId="01596B4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E75663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8DF73F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F70DF8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8.2.5.4</w:t>
            </w:r>
          </w:p>
        </w:tc>
        <w:tc>
          <w:tcPr>
            <w:tcW w:w="3073" w:type="dxa"/>
            <w:gridSpan w:val="2"/>
            <w:shd w:val="clear" w:color="000000" w:fill="FFFFFF"/>
            <w:noWrap/>
            <w:hideMark/>
          </w:tcPr>
          <w:p w14:paraId="783C80E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Infraestructura Educativa Superior.</w:t>
            </w:r>
          </w:p>
        </w:tc>
        <w:tc>
          <w:tcPr>
            <w:tcW w:w="1566" w:type="dxa"/>
            <w:shd w:val="clear" w:color="000000" w:fill="FFFFFF"/>
            <w:noWrap/>
            <w:hideMark/>
          </w:tcPr>
          <w:p w14:paraId="442B157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378,815,872</w:t>
            </w:r>
          </w:p>
        </w:tc>
        <w:tc>
          <w:tcPr>
            <w:tcW w:w="1492" w:type="dxa"/>
            <w:shd w:val="clear" w:color="auto" w:fill="auto"/>
            <w:noWrap/>
            <w:hideMark/>
          </w:tcPr>
          <w:p w14:paraId="43E31207"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9377F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38C0421" w14:textId="77777777" w:rsidTr="00C10263">
        <w:trPr>
          <w:trHeight w:val="780"/>
          <w:jc w:val="center"/>
        </w:trPr>
        <w:tc>
          <w:tcPr>
            <w:tcW w:w="307" w:type="dxa"/>
            <w:shd w:val="clear" w:color="000000" w:fill="FFFFFF"/>
            <w:noWrap/>
            <w:hideMark/>
          </w:tcPr>
          <w:p w14:paraId="6C2E742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D2A35B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75C510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8.2.6</w:t>
            </w:r>
          </w:p>
        </w:tc>
        <w:tc>
          <w:tcPr>
            <w:tcW w:w="3923" w:type="dxa"/>
            <w:gridSpan w:val="3"/>
            <w:shd w:val="clear" w:color="000000" w:fill="FFFFFF"/>
            <w:noWrap/>
            <w:hideMark/>
          </w:tcPr>
          <w:p w14:paraId="5B9D4A5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para la Seguridad Pública de los Estados y del Distrito Federal (FASP).</w:t>
            </w:r>
          </w:p>
        </w:tc>
        <w:tc>
          <w:tcPr>
            <w:tcW w:w="1566" w:type="dxa"/>
            <w:shd w:val="clear" w:color="000000" w:fill="FFFFFF"/>
            <w:noWrap/>
            <w:hideMark/>
          </w:tcPr>
          <w:p w14:paraId="3C38D7E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604,522,982</w:t>
            </w:r>
          </w:p>
        </w:tc>
        <w:tc>
          <w:tcPr>
            <w:tcW w:w="1492" w:type="dxa"/>
            <w:shd w:val="clear" w:color="auto" w:fill="auto"/>
            <w:noWrap/>
            <w:hideMark/>
          </w:tcPr>
          <w:p w14:paraId="6BC0520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C1883F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F2428E2" w14:textId="77777777" w:rsidTr="00C10263">
        <w:trPr>
          <w:trHeight w:val="600"/>
          <w:jc w:val="center"/>
        </w:trPr>
        <w:tc>
          <w:tcPr>
            <w:tcW w:w="307" w:type="dxa"/>
            <w:shd w:val="clear" w:color="000000" w:fill="FFFFFF"/>
            <w:noWrap/>
            <w:hideMark/>
          </w:tcPr>
          <w:p w14:paraId="0D875EE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D5164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676D6F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8.2.7</w:t>
            </w:r>
          </w:p>
        </w:tc>
        <w:tc>
          <w:tcPr>
            <w:tcW w:w="3923" w:type="dxa"/>
            <w:gridSpan w:val="3"/>
            <w:shd w:val="clear" w:color="000000" w:fill="FFFFFF"/>
            <w:noWrap/>
            <w:hideMark/>
          </w:tcPr>
          <w:p w14:paraId="28211EE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para la Educación Tecnológica y de Adultos (FAETA):</w:t>
            </w:r>
          </w:p>
        </w:tc>
        <w:tc>
          <w:tcPr>
            <w:tcW w:w="1566" w:type="dxa"/>
            <w:shd w:val="clear" w:color="000000" w:fill="FFFFFF"/>
            <w:noWrap/>
            <w:hideMark/>
          </w:tcPr>
          <w:p w14:paraId="19AAD8E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1,107,139,592</w:t>
            </w:r>
          </w:p>
        </w:tc>
        <w:tc>
          <w:tcPr>
            <w:tcW w:w="1492" w:type="dxa"/>
            <w:shd w:val="clear" w:color="auto" w:fill="auto"/>
            <w:noWrap/>
            <w:hideMark/>
          </w:tcPr>
          <w:p w14:paraId="4A503271"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1AC04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BD35428" w14:textId="77777777" w:rsidTr="00C10263">
        <w:trPr>
          <w:trHeight w:val="255"/>
          <w:jc w:val="center"/>
        </w:trPr>
        <w:tc>
          <w:tcPr>
            <w:tcW w:w="307" w:type="dxa"/>
            <w:shd w:val="clear" w:color="000000" w:fill="FFFFFF"/>
            <w:noWrap/>
            <w:hideMark/>
          </w:tcPr>
          <w:p w14:paraId="69414ED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97AEF7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C4276A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CCE18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8.2.7.1</w:t>
            </w:r>
          </w:p>
        </w:tc>
        <w:tc>
          <w:tcPr>
            <w:tcW w:w="3073" w:type="dxa"/>
            <w:gridSpan w:val="2"/>
            <w:shd w:val="clear" w:color="000000" w:fill="FFFFFF"/>
            <w:noWrap/>
            <w:hideMark/>
          </w:tcPr>
          <w:p w14:paraId="797F122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Educación Tecnológica.</w:t>
            </w:r>
          </w:p>
        </w:tc>
        <w:tc>
          <w:tcPr>
            <w:tcW w:w="1566" w:type="dxa"/>
            <w:shd w:val="clear" w:color="000000" w:fill="FFFFFF"/>
            <w:noWrap/>
            <w:hideMark/>
          </w:tcPr>
          <w:p w14:paraId="1AE76BC9"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920,008,583</w:t>
            </w:r>
          </w:p>
        </w:tc>
        <w:tc>
          <w:tcPr>
            <w:tcW w:w="1492" w:type="dxa"/>
            <w:shd w:val="clear" w:color="auto" w:fill="auto"/>
            <w:noWrap/>
            <w:hideMark/>
          </w:tcPr>
          <w:p w14:paraId="3B1EB1C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397A64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D0C86BC" w14:textId="77777777" w:rsidTr="00C10263">
        <w:trPr>
          <w:trHeight w:val="255"/>
          <w:jc w:val="center"/>
        </w:trPr>
        <w:tc>
          <w:tcPr>
            <w:tcW w:w="307" w:type="dxa"/>
            <w:shd w:val="clear" w:color="000000" w:fill="FFFFFF"/>
            <w:noWrap/>
            <w:hideMark/>
          </w:tcPr>
          <w:p w14:paraId="45502BE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2FB0AD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80A97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39578E4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8.2.7.2</w:t>
            </w:r>
          </w:p>
        </w:tc>
        <w:tc>
          <w:tcPr>
            <w:tcW w:w="3073" w:type="dxa"/>
            <w:gridSpan w:val="2"/>
            <w:shd w:val="clear" w:color="000000" w:fill="FFFFFF"/>
            <w:noWrap/>
            <w:hideMark/>
          </w:tcPr>
          <w:p w14:paraId="6EF9A18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Educación de Adultos.</w:t>
            </w:r>
          </w:p>
        </w:tc>
        <w:tc>
          <w:tcPr>
            <w:tcW w:w="1566" w:type="dxa"/>
            <w:shd w:val="clear" w:color="000000" w:fill="FFFFFF"/>
            <w:noWrap/>
            <w:hideMark/>
          </w:tcPr>
          <w:p w14:paraId="79B6247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187,131,009</w:t>
            </w:r>
          </w:p>
        </w:tc>
        <w:tc>
          <w:tcPr>
            <w:tcW w:w="1492" w:type="dxa"/>
            <w:shd w:val="clear" w:color="auto" w:fill="auto"/>
            <w:noWrap/>
            <w:hideMark/>
          </w:tcPr>
          <w:p w14:paraId="5BA299A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07EDE8E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F6F3B0C" w14:textId="77777777" w:rsidTr="00C10263">
        <w:trPr>
          <w:trHeight w:val="460"/>
          <w:jc w:val="center"/>
        </w:trPr>
        <w:tc>
          <w:tcPr>
            <w:tcW w:w="307" w:type="dxa"/>
            <w:shd w:val="clear" w:color="000000" w:fill="FFFFFF"/>
            <w:noWrap/>
            <w:hideMark/>
          </w:tcPr>
          <w:p w14:paraId="7499C99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AD68F6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448201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8.2.8</w:t>
            </w:r>
          </w:p>
        </w:tc>
        <w:tc>
          <w:tcPr>
            <w:tcW w:w="3923" w:type="dxa"/>
            <w:gridSpan w:val="3"/>
            <w:shd w:val="clear" w:color="000000" w:fill="FFFFFF"/>
            <w:noWrap/>
            <w:hideMark/>
          </w:tcPr>
          <w:p w14:paraId="7E03B24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Aportaciones para el Fortalecimiento de las Entidades Federativas (FAFEF).</w:t>
            </w:r>
          </w:p>
        </w:tc>
        <w:tc>
          <w:tcPr>
            <w:tcW w:w="1566" w:type="dxa"/>
            <w:shd w:val="clear" w:color="000000" w:fill="FFFFFF"/>
            <w:noWrap/>
            <w:hideMark/>
          </w:tcPr>
          <w:p w14:paraId="6EDB0FC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9,416,541,503</w:t>
            </w:r>
          </w:p>
        </w:tc>
        <w:tc>
          <w:tcPr>
            <w:tcW w:w="1492" w:type="dxa"/>
            <w:shd w:val="clear" w:color="auto" w:fill="auto"/>
            <w:noWrap/>
            <w:hideMark/>
          </w:tcPr>
          <w:p w14:paraId="64FA2CB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C929B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9072357" w14:textId="77777777" w:rsidTr="00C10263">
        <w:trPr>
          <w:trHeight w:val="255"/>
          <w:jc w:val="center"/>
        </w:trPr>
        <w:tc>
          <w:tcPr>
            <w:tcW w:w="307" w:type="dxa"/>
            <w:shd w:val="clear" w:color="000000" w:fill="FFFFFF"/>
            <w:noWrap/>
            <w:hideMark/>
          </w:tcPr>
          <w:p w14:paraId="79390AB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C5CA94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8.3</w:t>
            </w:r>
          </w:p>
        </w:tc>
        <w:tc>
          <w:tcPr>
            <w:tcW w:w="4562" w:type="dxa"/>
            <w:gridSpan w:val="4"/>
            <w:shd w:val="clear" w:color="000000" w:fill="FFFFFF"/>
            <w:noWrap/>
            <w:hideMark/>
          </w:tcPr>
          <w:p w14:paraId="29D7F06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Convenios:</w:t>
            </w:r>
          </w:p>
        </w:tc>
        <w:tc>
          <w:tcPr>
            <w:tcW w:w="1566" w:type="dxa"/>
            <w:shd w:val="clear" w:color="000000" w:fill="FFFFFF"/>
            <w:noWrap/>
            <w:hideMark/>
          </w:tcPr>
          <w:p w14:paraId="5C2D60F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11,229,758,843</w:t>
            </w:r>
          </w:p>
        </w:tc>
        <w:tc>
          <w:tcPr>
            <w:tcW w:w="1492" w:type="dxa"/>
            <w:shd w:val="clear" w:color="auto" w:fill="auto"/>
            <w:noWrap/>
            <w:hideMark/>
          </w:tcPr>
          <w:p w14:paraId="53ED2E7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D1C12B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7AD8FFD" w14:textId="77777777" w:rsidTr="00C10263">
        <w:trPr>
          <w:trHeight w:val="255"/>
          <w:jc w:val="center"/>
        </w:trPr>
        <w:tc>
          <w:tcPr>
            <w:tcW w:w="307" w:type="dxa"/>
            <w:shd w:val="clear" w:color="000000" w:fill="FFFFFF"/>
            <w:noWrap/>
            <w:hideMark/>
          </w:tcPr>
          <w:p w14:paraId="31E39C2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3EAF61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7F07DD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8.3.1</w:t>
            </w:r>
          </w:p>
        </w:tc>
        <w:tc>
          <w:tcPr>
            <w:tcW w:w="3923" w:type="dxa"/>
            <w:gridSpan w:val="3"/>
            <w:shd w:val="clear" w:color="000000" w:fill="FFFFFF"/>
            <w:noWrap/>
            <w:hideMark/>
          </w:tcPr>
          <w:p w14:paraId="1019847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Secretaría de Salud.</w:t>
            </w:r>
          </w:p>
        </w:tc>
        <w:tc>
          <w:tcPr>
            <w:tcW w:w="1566" w:type="dxa"/>
            <w:shd w:val="clear" w:color="000000" w:fill="FFFFFF"/>
            <w:noWrap/>
            <w:hideMark/>
          </w:tcPr>
          <w:p w14:paraId="3DFC9D4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9,957,066,441</w:t>
            </w:r>
          </w:p>
        </w:tc>
        <w:tc>
          <w:tcPr>
            <w:tcW w:w="1492" w:type="dxa"/>
            <w:shd w:val="clear" w:color="auto" w:fill="auto"/>
            <w:noWrap/>
            <w:hideMark/>
          </w:tcPr>
          <w:p w14:paraId="1F29AB6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CA100E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42CF950" w14:textId="77777777" w:rsidTr="00C10263">
        <w:trPr>
          <w:trHeight w:val="255"/>
          <w:jc w:val="center"/>
        </w:trPr>
        <w:tc>
          <w:tcPr>
            <w:tcW w:w="307" w:type="dxa"/>
            <w:shd w:val="clear" w:color="000000" w:fill="FFFFFF"/>
            <w:noWrap/>
            <w:hideMark/>
          </w:tcPr>
          <w:p w14:paraId="0879BB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119CD4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5E4D8B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8.3.2</w:t>
            </w:r>
          </w:p>
        </w:tc>
        <w:tc>
          <w:tcPr>
            <w:tcW w:w="3923" w:type="dxa"/>
            <w:gridSpan w:val="3"/>
            <w:shd w:val="clear" w:color="000000" w:fill="FFFFFF"/>
            <w:noWrap/>
            <w:hideMark/>
          </w:tcPr>
          <w:p w14:paraId="075B8A2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Secretaría de Educación Pública.</w:t>
            </w:r>
          </w:p>
        </w:tc>
        <w:tc>
          <w:tcPr>
            <w:tcW w:w="1566" w:type="dxa"/>
            <w:shd w:val="clear" w:color="000000" w:fill="FFFFFF"/>
            <w:noWrap/>
            <w:hideMark/>
          </w:tcPr>
          <w:p w14:paraId="5DCEC1B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FE99BD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00D2AB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6CD571F" w14:textId="77777777" w:rsidTr="00C10263">
        <w:trPr>
          <w:trHeight w:val="255"/>
          <w:jc w:val="center"/>
        </w:trPr>
        <w:tc>
          <w:tcPr>
            <w:tcW w:w="307" w:type="dxa"/>
            <w:shd w:val="clear" w:color="000000" w:fill="FFFFFF"/>
            <w:noWrap/>
            <w:hideMark/>
          </w:tcPr>
          <w:p w14:paraId="3C65407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365E26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6AA66F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8.3.3</w:t>
            </w:r>
          </w:p>
        </w:tc>
        <w:tc>
          <w:tcPr>
            <w:tcW w:w="3923" w:type="dxa"/>
            <w:gridSpan w:val="3"/>
            <w:shd w:val="clear" w:color="000000" w:fill="FFFFFF"/>
            <w:noWrap/>
            <w:hideMark/>
          </w:tcPr>
          <w:p w14:paraId="123D401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Convenios.</w:t>
            </w:r>
          </w:p>
        </w:tc>
        <w:tc>
          <w:tcPr>
            <w:tcW w:w="1566" w:type="dxa"/>
            <w:shd w:val="clear" w:color="000000" w:fill="FFFFFF"/>
            <w:noWrap/>
            <w:hideMark/>
          </w:tcPr>
          <w:p w14:paraId="52D07FD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1,272,692,402</w:t>
            </w:r>
          </w:p>
        </w:tc>
        <w:tc>
          <w:tcPr>
            <w:tcW w:w="1492" w:type="dxa"/>
            <w:shd w:val="clear" w:color="auto" w:fill="auto"/>
            <w:noWrap/>
            <w:hideMark/>
          </w:tcPr>
          <w:p w14:paraId="23C4E12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2FF4A2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00EF19D" w14:textId="77777777" w:rsidTr="00C10263">
        <w:trPr>
          <w:trHeight w:val="255"/>
          <w:jc w:val="center"/>
        </w:trPr>
        <w:tc>
          <w:tcPr>
            <w:tcW w:w="307" w:type="dxa"/>
            <w:shd w:val="clear" w:color="000000" w:fill="FFFFFF"/>
            <w:noWrap/>
            <w:hideMark/>
          </w:tcPr>
          <w:p w14:paraId="2E9411A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17557B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w:t>
            </w:r>
          </w:p>
        </w:tc>
        <w:tc>
          <w:tcPr>
            <w:tcW w:w="4562" w:type="dxa"/>
            <w:gridSpan w:val="4"/>
            <w:shd w:val="clear" w:color="000000" w:fill="FFFFFF"/>
            <w:noWrap/>
            <w:hideMark/>
          </w:tcPr>
          <w:p w14:paraId="0DB37F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Incentivos derivados de la Colaboración Fiscal:</w:t>
            </w:r>
          </w:p>
        </w:tc>
        <w:tc>
          <w:tcPr>
            <w:tcW w:w="1566" w:type="dxa"/>
            <w:shd w:val="clear" w:color="000000" w:fill="FFFFFF"/>
            <w:noWrap/>
            <w:hideMark/>
          </w:tcPr>
          <w:p w14:paraId="3A34A73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7,052,274,167</w:t>
            </w:r>
          </w:p>
        </w:tc>
        <w:tc>
          <w:tcPr>
            <w:tcW w:w="1492" w:type="dxa"/>
            <w:shd w:val="clear" w:color="auto" w:fill="auto"/>
            <w:noWrap/>
            <w:hideMark/>
          </w:tcPr>
          <w:p w14:paraId="10FF0EB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3E4EAC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0530937" w14:textId="77777777" w:rsidTr="00C10263">
        <w:trPr>
          <w:trHeight w:val="1123"/>
          <w:jc w:val="center"/>
        </w:trPr>
        <w:tc>
          <w:tcPr>
            <w:tcW w:w="307" w:type="dxa"/>
            <w:shd w:val="clear" w:color="000000" w:fill="FFFFFF"/>
            <w:noWrap/>
            <w:hideMark/>
          </w:tcPr>
          <w:p w14:paraId="7857E56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F08AAA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A87F42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8.4.1</w:t>
            </w:r>
          </w:p>
        </w:tc>
        <w:tc>
          <w:tcPr>
            <w:tcW w:w="3923" w:type="dxa"/>
            <w:gridSpan w:val="3"/>
            <w:shd w:val="clear" w:color="000000" w:fill="FFFFFF"/>
            <w:noWrap/>
            <w:hideMark/>
          </w:tcPr>
          <w:p w14:paraId="7CAF59E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Montos que la Federación cubra al Estado por las Actividades de Colaboración Administrativa que este último realice, en los términos de los Convenios que al efecto se celebren:</w:t>
            </w:r>
          </w:p>
        </w:tc>
        <w:tc>
          <w:tcPr>
            <w:tcW w:w="1566" w:type="dxa"/>
            <w:shd w:val="clear" w:color="000000" w:fill="FFFFFF"/>
            <w:noWrap/>
            <w:hideMark/>
          </w:tcPr>
          <w:p w14:paraId="6E19FBC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6,705,918,580</w:t>
            </w:r>
          </w:p>
        </w:tc>
        <w:tc>
          <w:tcPr>
            <w:tcW w:w="1492" w:type="dxa"/>
            <w:shd w:val="clear" w:color="auto" w:fill="auto"/>
            <w:noWrap/>
            <w:hideMark/>
          </w:tcPr>
          <w:p w14:paraId="75DC753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58A28F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90807B2" w14:textId="77777777" w:rsidTr="00C10263">
        <w:trPr>
          <w:trHeight w:val="615"/>
          <w:jc w:val="center"/>
        </w:trPr>
        <w:tc>
          <w:tcPr>
            <w:tcW w:w="307" w:type="dxa"/>
            <w:shd w:val="clear" w:color="000000" w:fill="FFFFFF"/>
            <w:noWrap/>
            <w:hideMark/>
          </w:tcPr>
          <w:p w14:paraId="4C95494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62877B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985824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01E456C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8.4.1.1</w:t>
            </w:r>
          </w:p>
        </w:tc>
        <w:tc>
          <w:tcPr>
            <w:tcW w:w="3073" w:type="dxa"/>
            <w:gridSpan w:val="2"/>
            <w:shd w:val="clear" w:color="000000" w:fill="FFFFFF"/>
            <w:noWrap/>
            <w:hideMark/>
          </w:tcPr>
          <w:p w14:paraId="2FE200D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Impuesto sobre Automóviles Nuevos.</w:t>
            </w:r>
          </w:p>
        </w:tc>
        <w:tc>
          <w:tcPr>
            <w:tcW w:w="1566" w:type="dxa"/>
            <w:shd w:val="clear" w:color="000000" w:fill="FFFFFF"/>
            <w:noWrap/>
            <w:hideMark/>
          </w:tcPr>
          <w:p w14:paraId="0C46E4D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1,584,197,850</w:t>
            </w:r>
          </w:p>
        </w:tc>
        <w:tc>
          <w:tcPr>
            <w:tcW w:w="1492" w:type="dxa"/>
            <w:shd w:val="clear" w:color="auto" w:fill="auto"/>
            <w:noWrap/>
            <w:hideMark/>
          </w:tcPr>
          <w:p w14:paraId="16C5E77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14CC40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B5A3FAD" w14:textId="77777777" w:rsidTr="00C10263">
        <w:trPr>
          <w:trHeight w:val="255"/>
          <w:jc w:val="center"/>
        </w:trPr>
        <w:tc>
          <w:tcPr>
            <w:tcW w:w="307" w:type="dxa"/>
            <w:shd w:val="clear" w:color="000000" w:fill="FFFFFF"/>
            <w:noWrap/>
            <w:hideMark/>
          </w:tcPr>
          <w:p w14:paraId="041C0D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33A3AA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BE8C82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C541FF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8.4.1.2</w:t>
            </w:r>
          </w:p>
        </w:tc>
        <w:tc>
          <w:tcPr>
            <w:tcW w:w="3073" w:type="dxa"/>
            <w:gridSpan w:val="2"/>
            <w:shd w:val="clear" w:color="000000" w:fill="FFFFFF"/>
            <w:noWrap/>
            <w:hideMark/>
          </w:tcPr>
          <w:p w14:paraId="625B3AB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Fiscalización.</w:t>
            </w:r>
          </w:p>
        </w:tc>
        <w:tc>
          <w:tcPr>
            <w:tcW w:w="1566" w:type="dxa"/>
            <w:shd w:val="clear" w:color="000000" w:fill="FFFFFF"/>
            <w:noWrap/>
            <w:hideMark/>
          </w:tcPr>
          <w:p w14:paraId="60E8859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2,022,150,664</w:t>
            </w:r>
          </w:p>
        </w:tc>
        <w:tc>
          <w:tcPr>
            <w:tcW w:w="1492" w:type="dxa"/>
            <w:shd w:val="clear" w:color="auto" w:fill="auto"/>
            <w:noWrap/>
            <w:hideMark/>
          </w:tcPr>
          <w:p w14:paraId="5359455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2C6453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AC59037" w14:textId="77777777" w:rsidTr="00C10263">
        <w:trPr>
          <w:trHeight w:val="255"/>
          <w:jc w:val="center"/>
        </w:trPr>
        <w:tc>
          <w:tcPr>
            <w:tcW w:w="307" w:type="dxa"/>
            <w:shd w:val="clear" w:color="000000" w:fill="FFFFFF"/>
            <w:noWrap/>
            <w:hideMark/>
          </w:tcPr>
          <w:p w14:paraId="40498A8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053CC6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9D5A58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43CB7A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8.4.1.3</w:t>
            </w:r>
          </w:p>
        </w:tc>
        <w:tc>
          <w:tcPr>
            <w:tcW w:w="3073" w:type="dxa"/>
            <w:gridSpan w:val="2"/>
            <w:shd w:val="clear" w:color="000000" w:fill="FFFFFF"/>
            <w:noWrap/>
            <w:hideMark/>
          </w:tcPr>
          <w:p w14:paraId="085FADE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 Incentivos:</w:t>
            </w:r>
          </w:p>
        </w:tc>
        <w:tc>
          <w:tcPr>
            <w:tcW w:w="1566" w:type="dxa"/>
            <w:shd w:val="clear" w:color="000000" w:fill="FFFFFF"/>
            <w:noWrap/>
            <w:hideMark/>
          </w:tcPr>
          <w:p w14:paraId="599E93DD"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3,099,570,066</w:t>
            </w:r>
          </w:p>
        </w:tc>
        <w:tc>
          <w:tcPr>
            <w:tcW w:w="1492" w:type="dxa"/>
            <w:shd w:val="clear" w:color="auto" w:fill="auto"/>
            <w:noWrap/>
            <w:hideMark/>
          </w:tcPr>
          <w:p w14:paraId="339B5A2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9DF68D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DFF26EB" w14:textId="77777777" w:rsidTr="00C10263">
        <w:trPr>
          <w:trHeight w:val="255"/>
          <w:jc w:val="center"/>
        </w:trPr>
        <w:tc>
          <w:tcPr>
            <w:tcW w:w="307" w:type="dxa"/>
            <w:shd w:val="clear" w:color="000000" w:fill="FFFFFF"/>
            <w:noWrap/>
            <w:hideMark/>
          </w:tcPr>
          <w:p w14:paraId="483A69D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3FB51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B7145C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238FC82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5DFF461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8.4.1.3.1</w:t>
            </w:r>
          </w:p>
        </w:tc>
        <w:tc>
          <w:tcPr>
            <w:tcW w:w="1939" w:type="dxa"/>
            <w:shd w:val="clear" w:color="000000" w:fill="FFFFFF"/>
            <w:noWrap/>
            <w:hideMark/>
          </w:tcPr>
          <w:p w14:paraId="253158E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Gasolinas.</w:t>
            </w:r>
          </w:p>
        </w:tc>
        <w:tc>
          <w:tcPr>
            <w:tcW w:w="1566" w:type="dxa"/>
            <w:shd w:val="clear" w:color="000000" w:fill="FFFFFF"/>
            <w:noWrap/>
            <w:hideMark/>
          </w:tcPr>
          <w:p w14:paraId="712C0FE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1,980,872,493</w:t>
            </w:r>
          </w:p>
        </w:tc>
        <w:tc>
          <w:tcPr>
            <w:tcW w:w="1492" w:type="dxa"/>
            <w:shd w:val="clear" w:color="auto" w:fill="auto"/>
            <w:noWrap/>
            <w:hideMark/>
          </w:tcPr>
          <w:p w14:paraId="426BBC8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A2D7C1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35FC1D3" w14:textId="77777777" w:rsidTr="00C10263">
        <w:trPr>
          <w:trHeight w:val="510"/>
          <w:jc w:val="center"/>
        </w:trPr>
        <w:tc>
          <w:tcPr>
            <w:tcW w:w="307" w:type="dxa"/>
            <w:shd w:val="clear" w:color="000000" w:fill="FFFFFF"/>
            <w:noWrap/>
            <w:hideMark/>
          </w:tcPr>
          <w:p w14:paraId="4085030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9D1EE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5B943E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F6DF27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37FBB65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8.4.1.3.2</w:t>
            </w:r>
          </w:p>
        </w:tc>
        <w:tc>
          <w:tcPr>
            <w:tcW w:w="1939" w:type="dxa"/>
            <w:shd w:val="clear" w:color="000000" w:fill="FFFFFF"/>
            <w:noWrap/>
            <w:hideMark/>
          </w:tcPr>
          <w:p w14:paraId="4E9006C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Adeudos de la Tenencia Federal.</w:t>
            </w:r>
          </w:p>
        </w:tc>
        <w:tc>
          <w:tcPr>
            <w:tcW w:w="1566" w:type="dxa"/>
            <w:shd w:val="clear" w:color="000000" w:fill="FFFFFF"/>
            <w:noWrap/>
            <w:hideMark/>
          </w:tcPr>
          <w:p w14:paraId="0661810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708,508</w:t>
            </w:r>
          </w:p>
        </w:tc>
        <w:tc>
          <w:tcPr>
            <w:tcW w:w="1492" w:type="dxa"/>
            <w:shd w:val="clear" w:color="auto" w:fill="auto"/>
            <w:noWrap/>
            <w:hideMark/>
          </w:tcPr>
          <w:p w14:paraId="659E9C0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0D4161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1DAB57F" w14:textId="77777777" w:rsidTr="00C10263">
        <w:trPr>
          <w:trHeight w:val="255"/>
          <w:jc w:val="center"/>
        </w:trPr>
        <w:tc>
          <w:tcPr>
            <w:tcW w:w="307" w:type="dxa"/>
            <w:shd w:val="clear" w:color="000000" w:fill="FFFFFF"/>
            <w:noWrap/>
            <w:hideMark/>
          </w:tcPr>
          <w:p w14:paraId="7B9B9D3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BEAE72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DB18D9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3F92BBD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7B3C1D7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8.4.1.3.3</w:t>
            </w:r>
          </w:p>
        </w:tc>
        <w:tc>
          <w:tcPr>
            <w:tcW w:w="1939" w:type="dxa"/>
            <w:shd w:val="clear" w:color="000000" w:fill="FFFFFF"/>
            <w:noWrap/>
            <w:hideMark/>
          </w:tcPr>
          <w:p w14:paraId="4C431E3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Otros.</w:t>
            </w:r>
          </w:p>
        </w:tc>
        <w:tc>
          <w:tcPr>
            <w:tcW w:w="1566" w:type="dxa"/>
            <w:shd w:val="clear" w:color="000000" w:fill="FFFFFF"/>
            <w:noWrap/>
            <w:hideMark/>
          </w:tcPr>
          <w:p w14:paraId="45EB28F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1,117,989,065</w:t>
            </w:r>
          </w:p>
        </w:tc>
        <w:tc>
          <w:tcPr>
            <w:tcW w:w="1492" w:type="dxa"/>
            <w:shd w:val="clear" w:color="auto" w:fill="auto"/>
            <w:noWrap/>
            <w:hideMark/>
          </w:tcPr>
          <w:p w14:paraId="698FE878"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0D621C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6C27544" w14:textId="77777777" w:rsidTr="00C10263">
        <w:trPr>
          <w:trHeight w:val="1320"/>
          <w:jc w:val="center"/>
        </w:trPr>
        <w:tc>
          <w:tcPr>
            <w:tcW w:w="307" w:type="dxa"/>
            <w:shd w:val="clear" w:color="000000" w:fill="FFFFFF"/>
            <w:noWrap/>
            <w:hideMark/>
          </w:tcPr>
          <w:p w14:paraId="7E7199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6721B28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2CACAE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8.4.2</w:t>
            </w:r>
          </w:p>
        </w:tc>
        <w:tc>
          <w:tcPr>
            <w:tcW w:w="3923" w:type="dxa"/>
            <w:gridSpan w:val="3"/>
            <w:shd w:val="clear" w:color="000000" w:fill="FFFFFF"/>
            <w:noWrap/>
            <w:hideMark/>
          </w:tcPr>
          <w:p w14:paraId="08D5A11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Montos que los Municipios cubran al Estado por Actividades de Colaboración Administrativa que este último realice, en los términos de los Convenios que al efecto se realicen.</w:t>
            </w:r>
          </w:p>
        </w:tc>
        <w:tc>
          <w:tcPr>
            <w:tcW w:w="1566" w:type="dxa"/>
            <w:shd w:val="clear" w:color="000000" w:fill="FFFFFF"/>
            <w:noWrap/>
            <w:hideMark/>
          </w:tcPr>
          <w:p w14:paraId="069174D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153BA67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2C6DAE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6A38094" w14:textId="77777777" w:rsidTr="00C10263">
        <w:trPr>
          <w:trHeight w:val="870"/>
          <w:jc w:val="center"/>
        </w:trPr>
        <w:tc>
          <w:tcPr>
            <w:tcW w:w="307" w:type="dxa"/>
            <w:shd w:val="clear" w:color="000000" w:fill="FFFFFF"/>
            <w:noWrap/>
            <w:hideMark/>
          </w:tcPr>
          <w:p w14:paraId="6D19650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245A7A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53D203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8.4.3</w:t>
            </w:r>
          </w:p>
        </w:tc>
        <w:tc>
          <w:tcPr>
            <w:tcW w:w="3923" w:type="dxa"/>
            <w:gridSpan w:val="3"/>
            <w:shd w:val="clear" w:color="000000" w:fill="FFFFFF"/>
            <w:noWrap/>
            <w:hideMark/>
          </w:tcPr>
          <w:p w14:paraId="5509851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Montos que la Federación cubra al Estado derivados del Fondo de Compensación del Impuesto sobre Automóviles Nuevos.</w:t>
            </w:r>
          </w:p>
        </w:tc>
        <w:tc>
          <w:tcPr>
            <w:tcW w:w="1566" w:type="dxa"/>
            <w:shd w:val="clear" w:color="000000" w:fill="FFFFFF"/>
            <w:noWrap/>
            <w:hideMark/>
          </w:tcPr>
          <w:p w14:paraId="6943D38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346,355,587</w:t>
            </w:r>
          </w:p>
        </w:tc>
        <w:tc>
          <w:tcPr>
            <w:tcW w:w="1492" w:type="dxa"/>
            <w:shd w:val="clear" w:color="auto" w:fill="auto"/>
            <w:noWrap/>
            <w:hideMark/>
          </w:tcPr>
          <w:p w14:paraId="6A165B1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6B0C5D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9CF061A" w14:textId="77777777" w:rsidTr="00C10263">
        <w:trPr>
          <w:trHeight w:val="255"/>
          <w:jc w:val="center"/>
        </w:trPr>
        <w:tc>
          <w:tcPr>
            <w:tcW w:w="307" w:type="dxa"/>
            <w:shd w:val="clear" w:color="000000" w:fill="FFFFFF"/>
            <w:noWrap/>
            <w:hideMark/>
          </w:tcPr>
          <w:p w14:paraId="7988B11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BFF8F6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8.5</w:t>
            </w:r>
          </w:p>
        </w:tc>
        <w:tc>
          <w:tcPr>
            <w:tcW w:w="4562" w:type="dxa"/>
            <w:gridSpan w:val="4"/>
            <w:shd w:val="clear" w:color="000000" w:fill="FFFFFF"/>
            <w:noWrap/>
            <w:hideMark/>
          </w:tcPr>
          <w:p w14:paraId="662D7BF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xml:space="preserve">Fondos Distintos de Aportaciones: </w:t>
            </w:r>
          </w:p>
        </w:tc>
        <w:tc>
          <w:tcPr>
            <w:tcW w:w="1566" w:type="dxa"/>
            <w:shd w:val="clear" w:color="000000" w:fill="FFFFFF"/>
            <w:noWrap/>
            <w:hideMark/>
          </w:tcPr>
          <w:p w14:paraId="79F8D3B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59DF2DC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1EB455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254BE96A" w14:textId="77777777" w:rsidTr="00C10263">
        <w:trPr>
          <w:trHeight w:val="610"/>
          <w:jc w:val="center"/>
        </w:trPr>
        <w:tc>
          <w:tcPr>
            <w:tcW w:w="307" w:type="dxa"/>
            <w:shd w:val="clear" w:color="000000" w:fill="FFFFFF"/>
            <w:noWrap/>
            <w:hideMark/>
          </w:tcPr>
          <w:p w14:paraId="3629C6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BAFDE2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4EB7CD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79209D1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8.5.1</w:t>
            </w:r>
          </w:p>
        </w:tc>
        <w:tc>
          <w:tcPr>
            <w:tcW w:w="3073" w:type="dxa"/>
            <w:gridSpan w:val="2"/>
            <w:shd w:val="clear" w:color="000000" w:fill="FFFFFF"/>
            <w:noWrap/>
            <w:hideMark/>
          </w:tcPr>
          <w:p w14:paraId="73367D0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Fideicomiso para la Infraestructura de los Estados (FIES).</w:t>
            </w:r>
          </w:p>
        </w:tc>
        <w:tc>
          <w:tcPr>
            <w:tcW w:w="1566" w:type="dxa"/>
            <w:shd w:val="clear" w:color="000000" w:fill="FFFFFF"/>
            <w:noWrap/>
            <w:hideMark/>
          </w:tcPr>
          <w:p w14:paraId="0C674618"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0F8C46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292D04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8E1DED5" w14:textId="77777777" w:rsidTr="00C10263">
        <w:trPr>
          <w:trHeight w:val="677"/>
          <w:jc w:val="center"/>
        </w:trPr>
        <w:tc>
          <w:tcPr>
            <w:tcW w:w="307" w:type="dxa"/>
            <w:shd w:val="clear" w:color="000000" w:fill="FFFFFF"/>
            <w:noWrap/>
            <w:hideMark/>
          </w:tcPr>
          <w:p w14:paraId="6C4649E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F8DAD7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94539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FAA7AB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8.5.2</w:t>
            </w:r>
          </w:p>
        </w:tc>
        <w:tc>
          <w:tcPr>
            <w:tcW w:w="3073" w:type="dxa"/>
            <w:gridSpan w:val="2"/>
            <w:shd w:val="clear" w:color="000000" w:fill="FFFFFF"/>
            <w:noWrap/>
            <w:hideMark/>
          </w:tcPr>
          <w:p w14:paraId="5A33AEC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Fondo de Estabilización de los Ingresos de las Entidades Federativas (FEIEF).</w:t>
            </w:r>
          </w:p>
        </w:tc>
        <w:tc>
          <w:tcPr>
            <w:tcW w:w="1566" w:type="dxa"/>
            <w:shd w:val="clear" w:color="000000" w:fill="FFFFFF"/>
            <w:noWrap/>
            <w:hideMark/>
          </w:tcPr>
          <w:p w14:paraId="0BC3F2E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749C0F5"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37C76A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7E80F88" w14:textId="77777777" w:rsidTr="00C10263">
        <w:trPr>
          <w:trHeight w:val="285"/>
          <w:jc w:val="center"/>
        </w:trPr>
        <w:tc>
          <w:tcPr>
            <w:tcW w:w="307" w:type="dxa"/>
            <w:shd w:val="clear" w:color="000000" w:fill="FFFFFF"/>
            <w:noWrap/>
            <w:hideMark/>
          </w:tcPr>
          <w:p w14:paraId="4C2E614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A55C63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37A210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F5B68B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8.5.3</w:t>
            </w:r>
          </w:p>
        </w:tc>
        <w:tc>
          <w:tcPr>
            <w:tcW w:w="3073" w:type="dxa"/>
            <w:gridSpan w:val="2"/>
            <w:shd w:val="clear" w:color="000000" w:fill="FFFFFF"/>
            <w:noWrap/>
            <w:hideMark/>
          </w:tcPr>
          <w:p w14:paraId="50CD7B5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Otras Aportaciones Federales.</w:t>
            </w:r>
          </w:p>
        </w:tc>
        <w:tc>
          <w:tcPr>
            <w:tcW w:w="1566" w:type="dxa"/>
            <w:shd w:val="clear" w:color="000000" w:fill="FFFFFF"/>
            <w:noWrap/>
            <w:hideMark/>
          </w:tcPr>
          <w:p w14:paraId="7601954A"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35C92C2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auto" w:fill="auto"/>
            <w:noWrap/>
            <w:hideMark/>
          </w:tcPr>
          <w:p w14:paraId="01B06A3B" w14:textId="77777777" w:rsidR="002B1A02" w:rsidRPr="00C10263" w:rsidRDefault="002B1A02" w:rsidP="00650F9E">
            <w:pPr>
              <w:spacing w:line="240" w:lineRule="auto"/>
              <w:rPr>
                <w:rFonts w:ascii="Times New Roman" w:eastAsia="Times New Roman" w:hAnsi="Times New Roman" w:cs="Times New Roman"/>
                <w:sz w:val="18"/>
                <w:szCs w:val="18"/>
                <w:lang w:eastAsia="es-MX"/>
              </w:rPr>
            </w:pPr>
          </w:p>
        </w:tc>
      </w:tr>
      <w:tr w:rsidR="002B1A02" w:rsidRPr="00E45F9D" w14:paraId="020000DD" w14:textId="77777777" w:rsidTr="00C10263">
        <w:trPr>
          <w:trHeight w:val="150"/>
          <w:jc w:val="center"/>
        </w:trPr>
        <w:tc>
          <w:tcPr>
            <w:tcW w:w="307" w:type="dxa"/>
            <w:shd w:val="clear" w:color="000000" w:fill="FFFFFF"/>
            <w:noWrap/>
            <w:hideMark/>
          </w:tcPr>
          <w:p w14:paraId="4CA8B3C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F0645F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EB7F38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6207066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428E18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604BFA7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5DD4A48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41B8040A"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4B7FD44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C6B0595" w14:textId="77777777" w:rsidTr="00C10263">
        <w:trPr>
          <w:trHeight w:val="600"/>
          <w:jc w:val="center"/>
        </w:trPr>
        <w:tc>
          <w:tcPr>
            <w:tcW w:w="307" w:type="dxa"/>
            <w:shd w:val="clear" w:color="000000" w:fill="FFFFFF"/>
            <w:noWrap/>
            <w:hideMark/>
          </w:tcPr>
          <w:p w14:paraId="552DD9ED"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9.</w:t>
            </w:r>
          </w:p>
        </w:tc>
        <w:tc>
          <w:tcPr>
            <w:tcW w:w="5062" w:type="dxa"/>
            <w:gridSpan w:val="5"/>
            <w:shd w:val="clear" w:color="000000" w:fill="FFFFFF"/>
            <w:noWrap/>
            <w:hideMark/>
          </w:tcPr>
          <w:p w14:paraId="5B0E496B"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Transferencias, Asignaciones, Subsidios y Subvenciones, y Pensiones y Jubilaciones:</w:t>
            </w:r>
          </w:p>
        </w:tc>
        <w:tc>
          <w:tcPr>
            <w:tcW w:w="1566" w:type="dxa"/>
            <w:shd w:val="clear" w:color="000000" w:fill="FFFFFF"/>
            <w:noWrap/>
            <w:hideMark/>
          </w:tcPr>
          <w:p w14:paraId="4E23631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3E9C4ACF"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5,007,882,199</w:t>
            </w:r>
          </w:p>
        </w:tc>
        <w:tc>
          <w:tcPr>
            <w:tcW w:w="1492" w:type="dxa"/>
            <w:shd w:val="clear" w:color="000000" w:fill="FFFFFF"/>
            <w:noWrap/>
            <w:hideMark/>
          </w:tcPr>
          <w:p w14:paraId="0CEEB3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43B1F1C" w14:textId="77777777" w:rsidTr="00C10263">
        <w:trPr>
          <w:trHeight w:val="255"/>
          <w:jc w:val="center"/>
        </w:trPr>
        <w:tc>
          <w:tcPr>
            <w:tcW w:w="307" w:type="dxa"/>
            <w:shd w:val="clear" w:color="000000" w:fill="FFFFFF"/>
            <w:noWrap/>
            <w:hideMark/>
          </w:tcPr>
          <w:p w14:paraId="70C20B6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F3C6C4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9.3</w:t>
            </w:r>
          </w:p>
        </w:tc>
        <w:tc>
          <w:tcPr>
            <w:tcW w:w="4562" w:type="dxa"/>
            <w:gridSpan w:val="4"/>
            <w:shd w:val="clear" w:color="000000" w:fill="FFFFFF"/>
            <w:noWrap/>
            <w:hideMark/>
          </w:tcPr>
          <w:p w14:paraId="2C137F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Subsidios y Subvenciones:</w:t>
            </w:r>
          </w:p>
        </w:tc>
        <w:tc>
          <w:tcPr>
            <w:tcW w:w="1566" w:type="dxa"/>
            <w:shd w:val="clear" w:color="000000" w:fill="FFFFFF"/>
            <w:noWrap/>
            <w:hideMark/>
          </w:tcPr>
          <w:p w14:paraId="030CF81B"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5,007,882,199</w:t>
            </w:r>
          </w:p>
        </w:tc>
        <w:tc>
          <w:tcPr>
            <w:tcW w:w="1492" w:type="dxa"/>
            <w:shd w:val="clear" w:color="auto" w:fill="auto"/>
            <w:noWrap/>
            <w:hideMark/>
          </w:tcPr>
          <w:p w14:paraId="2396E66C"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F12831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623F0BCC" w14:textId="77777777" w:rsidTr="00C10263">
        <w:trPr>
          <w:trHeight w:val="255"/>
          <w:jc w:val="center"/>
        </w:trPr>
        <w:tc>
          <w:tcPr>
            <w:tcW w:w="307" w:type="dxa"/>
            <w:shd w:val="clear" w:color="000000" w:fill="FFFFFF"/>
            <w:noWrap/>
            <w:hideMark/>
          </w:tcPr>
          <w:p w14:paraId="5B25396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E191D0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47AACB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9.3.1</w:t>
            </w:r>
          </w:p>
        </w:tc>
        <w:tc>
          <w:tcPr>
            <w:tcW w:w="3923" w:type="dxa"/>
            <w:gridSpan w:val="3"/>
            <w:shd w:val="clear" w:color="000000" w:fill="FFFFFF"/>
            <w:noWrap/>
            <w:hideMark/>
          </w:tcPr>
          <w:p w14:paraId="5140E44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Subsidios Educativos:</w:t>
            </w:r>
          </w:p>
        </w:tc>
        <w:tc>
          <w:tcPr>
            <w:tcW w:w="1566" w:type="dxa"/>
            <w:shd w:val="clear" w:color="000000" w:fill="FFFFFF"/>
            <w:noWrap/>
            <w:hideMark/>
          </w:tcPr>
          <w:p w14:paraId="4181BAE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5,007,882,199</w:t>
            </w:r>
          </w:p>
        </w:tc>
        <w:tc>
          <w:tcPr>
            <w:tcW w:w="1492" w:type="dxa"/>
            <w:shd w:val="clear" w:color="auto" w:fill="auto"/>
            <w:noWrap/>
            <w:hideMark/>
          </w:tcPr>
          <w:p w14:paraId="28EB09BB"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BE1030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930DD49" w14:textId="77777777" w:rsidTr="00C10263">
        <w:trPr>
          <w:trHeight w:val="255"/>
          <w:jc w:val="center"/>
        </w:trPr>
        <w:tc>
          <w:tcPr>
            <w:tcW w:w="307" w:type="dxa"/>
            <w:shd w:val="clear" w:color="000000" w:fill="FFFFFF"/>
            <w:noWrap/>
            <w:hideMark/>
          </w:tcPr>
          <w:p w14:paraId="27B4778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15AA83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DF46A4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49ECC6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9.3.1.1</w:t>
            </w:r>
          </w:p>
        </w:tc>
        <w:tc>
          <w:tcPr>
            <w:tcW w:w="3073" w:type="dxa"/>
            <w:gridSpan w:val="2"/>
            <w:shd w:val="clear" w:color="000000" w:fill="FFFFFF"/>
            <w:noWrap/>
            <w:hideMark/>
          </w:tcPr>
          <w:p w14:paraId="1B14BA1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Subsidios Educativos.</w:t>
            </w:r>
          </w:p>
        </w:tc>
        <w:tc>
          <w:tcPr>
            <w:tcW w:w="1566" w:type="dxa"/>
            <w:shd w:val="clear" w:color="000000" w:fill="FFFFFF"/>
            <w:noWrap/>
            <w:hideMark/>
          </w:tcPr>
          <w:p w14:paraId="05335441"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2,697,525,334</w:t>
            </w:r>
          </w:p>
        </w:tc>
        <w:tc>
          <w:tcPr>
            <w:tcW w:w="1492" w:type="dxa"/>
            <w:shd w:val="clear" w:color="auto" w:fill="auto"/>
            <w:noWrap/>
            <w:hideMark/>
          </w:tcPr>
          <w:p w14:paraId="1D3403ED"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6F876B6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395CF4A" w14:textId="77777777" w:rsidTr="00C10263">
        <w:trPr>
          <w:trHeight w:val="255"/>
          <w:jc w:val="center"/>
        </w:trPr>
        <w:tc>
          <w:tcPr>
            <w:tcW w:w="307" w:type="dxa"/>
            <w:shd w:val="clear" w:color="000000" w:fill="FFFFFF"/>
            <w:noWrap/>
            <w:hideMark/>
          </w:tcPr>
          <w:p w14:paraId="22A6054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6251A6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6872E8A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B54964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9.3.1.2</w:t>
            </w:r>
          </w:p>
        </w:tc>
        <w:tc>
          <w:tcPr>
            <w:tcW w:w="3073" w:type="dxa"/>
            <w:gridSpan w:val="2"/>
            <w:shd w:val="clear" w:color="000000" w:fill="FFFFFF"/>
            <w:noWrap/>
            <w:hideMark/>
          </w:tcPr>
          <w:p w14:paraId="1715F77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SEP Apoyos Extraordinarios.</w:t>
            </w:r>
          </w:p>
        </w:tc>
        <w:tc>
          <w:tcPr>
            <w:tcW w:w="1566" w:type="dxa"/>
            <w:shd w:val="clear" w:color="000000" w:fill="FFFFFF"/>
            <w:noWrap/>
            <w:hideMark/>
          </w:tcPr>
          <w:p w14:paraId="40C24EC4"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9548F30"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C062A6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17C1C394" w14:textId="77777777" w:rsidTr="004F447C">
        <w:trPr>
          <w:trHeight w:val="571"/>
          <w:jc w:val="center"/>
        </w:trPr>
        <w:tc>
          <w:tcPr>
            <w:tcW w:w="307" w:type="dxa"/>
            <w:shd w:val="clear" w:color="000000" w:fill="FFFFFF"/>
            <w:noWrap/>
            <w:hideMark/>
          </w:tcPr>
          <w:p w14:paraId="353E3F3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300C326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5EF6FC0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442E70A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9.3.1.3</w:t>
            </w:r>
          </w:p>
        </w:tc>
        <w:tc>
          <w:tcPr>
            <w:tcW w:w="3073" w:type="dxa"/>
            <w:gridSpan w:val="2"/>
            <w:shd w:val="clear" w:color="000000" w:fill="FFFFFF"/>
            <w:noWrap/>
            <w:hideMark/>
          </w:tcPr>
          <w:p w14:paraId="44A3A82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Universidad Autónoma del Estado de México.</w:t>
            </w:r>
          </w:p>
        </w:tc>
        <w:tc>
          <w:tcPr>
            <w:tcW w:w="1566" w:type="dxa"/>
            <w:shd w:val="clear" w:color="000000" w:fill="FFFFFF"/>
            <w:noWrap/>
            <w:hideMark/>
          </w:tcPr>
          <w:p w14:paraId="5576CDF0"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2,310,356,865</w:t>
            </w:r>
          </w:p>
        </w:tc>
        <w:tc>
          <w:tcPr>
            <w:tcW w:w="1492" w:type="dxa"/>
            <w:shd w:val="clear" w:color="auto" w:fill="auto"/>
            <w:noWrap/>
            <w:hideMark/>
          </w:tcPr>
          <w:p w14:paraId="49C74DF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7E08195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E4D1042" w14:textId="77777777" w:rsidTr="006817A4">
        <w:trPr>
          <w:trHeight w:val="511"/>
          <w:jc w:val="center"/>
        </w:trPr>
        <w:tc>
          <w:tcPr>
            <w:tcW w:w="307" w:type="dxa"/>
            <w:shd w:val="clear" w:color="000000" w:fill="FFFFFF"/>
            <w:noWrap/>
            <w:hideMark/>
          </w:tcPr>
          <w:p w14:paraId="7F78C0A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lastRenderedPageBreak/>
              <w:t> </w:t>
            </w:r>
          </w:p>
        </w:tc>
        <w:tc>
          <w:tcPr>
            <w:tcW w:w="500" w:type="dxa"/>
            <w:shd w:val="clear" w:color="000000" w:fill="FFFFFF"/>
            <w:noWrap/>
            <w:hideMark/>
          </w:tcPr>
          <w:p w14:paraId="5682E5B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6B34F7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7FC1B4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134" w:type="dxa"/>
            <w:shd w:val="clear" w:color="000000" w:fill="FFFFFF"/>
            <w:noWrap/>
            <w:hideMark/>
          </w:tcPr>
          <w:p w14:paraId="7DAEB8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939" w:type="dxa"/>
            <w:shd w:val="clear" w:color="000000" w:fill="FFFFFF"/>
            <w:noWrap/>
            <w:hideMark/>
          </w:tcPr>
          <w:p w14:paraId="32EBB41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566" w:type="dxa"/>
            <w:shd w:val="clear" w:color="000000" w:fill="FFFFFF"/>
            <w:noWrap/>
            <w:hideMark/>
          </w:tcPr>
          <w:p w14:paraId="1767FA4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0AF8F9D8" w14:textId="77777777" w:rsidR="002B1A02" w:rsidRPr="00C10263" w:rsidRDefault="002B1A02" w:rsidP="00650F9E">
            <w:pPr>
              <w:spacing w:line="240" w:lineRule="auto"/>
              <w:rPr>
                <w:rFonts w:eastAsia="Times New Roman" w:cs="Times New Roman"/>
                <w:color w:val="000000"/>
                <w:sz w:val="18"/>
                <w:szCs w:val="18"/>
                <w:lang w:eastAsia="es-MX"/>
              </w:rPr>
            </w:pPr>
          </w:p>
        </w:tc>
        <w:tc>
          <w:tcPr>
            <w:tcW w:w="1492" w:type="dxa"/>
            <w:shd w:val="clear" w:color="000000" w:fill="FFFFFF"/>
            <w:noWrap/>
            <w:hideMark/>
          </w:tcPr>
          <w:p w14:paraId="0C957F9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05D8BACC" w14:textId="77777777" w:rsidTr="00C10263">
        <w:trPr>
          <w:trHeight w:val="255"/>
          <w:jc w:val="center"/>
        </w:trPr>
        <w:tc>
          <w:tcPr>
            <w:tcW w:w="307" w:type="dxa"/>
            <w:shd w:val="clear" w:color="000000" w:fill="FFFFFF"/>
            <w:noWrap/>
            <w:hideMark/>
          </w:tcPr>
          <w:p w14:paraId="4D75A199"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0.</w:t>
            </w:r>
          </w:p>
        </w:tc>
        <w:tc>
          <w:tcPr>
            <w:tcW w:w="5062" w:type="dxa"/>
            <w:gridSpan w:val="5"/>
            <w:shd w:val="clear" w:color="000000" w:fill="FFFFFF"/>
            <w:noWrap/>
            <w:hideMark/>
          </w:tcPr>
          <w:p w14:paraId="34C53A75"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Ingresos Derivados de Financiamientos:</w:t>
            </w:r>
          </w:p>
        </w:tc>
        <w:tc>
          <w:tcPr>
            <w:tcW w:w="1566" w:type="dxa"/>
            <w:shd w:val="clear" w:color="000000" w:fill="FFFFFF"/>
            <w:noWrap/>
            <w:hideMark/>
          </w:tcPr>
          <w:p w14:paraId="0D60661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1492" w:type="dxa"/>
            <w:shd w:val="clear" w:color="auto" w:fill="auto"/>
            <w:noWrap/>
            <w:hideMark/>
          </w:tcPr>
          <w:p w14:paraId="4639FE36" w14:textId="77777777" w:rsidR="002B1A02" w:rsidRPr="00C10263" w:rsidRDefault="002B1A02" w:rsidP="00650F9E">
            <w:pPr>
              <w:spacing w:line="240" w:lineRule="auto"/>
              <w:jc w:val="right"/>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8,905,315,025</w:t>
            </w:r>
          </w:p>
        </w:tc>
        <w:tc>
          <w:tcPr>
            <w:tcW w:w="1492" w:type="dxa"/>
            <w:shd w:val="clear" w:color="000000" w:fill="FFFFFF"/>
            <w:noWrap/>
            <w:hideMark/>
          </w:tcPr>
          <w:p w14:paraId="39DA46B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BC67BC3" w14:textId="77777777" w:rsidTr="004F447C">
        <w:trPr>
          <w:trHeight w:val="386"/>
          <w:jc w:val="center"/>
        </w:trPr>
        <w:tc>
          <w:tcPr>
            <w:tcW w:w="307" w:type="dxa"/>
            <w:shd w:val="clear" w:color="000000" w:fill="FFFFFF"/>
            <w:noWrap/>
            <w:hideMark/>
          </w:tcPr>
          <w:p w14:paraId="6682DA6E" w14:textId="77777777" w:rsidR="002B1A02" w:rsidRPr="00C10263" w:rsidRDefault="002B1A02" w:rsidP="00650F9E">
            <w:pPr>
              <w:spacing w:line="240" w:lineRule="auto"/>
              <w:rPr>
                <w:rFonts w:eastAsia="Times New Roman" w:cs="Times New Roman"/>
                <w:b/>
                <w:bCs/>
                <w:color w:val="000000"/>
                <w:sz w:val="18"/>
                <w:szCs w:val="18"/>
                <w:lang w:eastAsia="es-MX"/>
              </w:rPr>
            </w:pPr>
            <w:r w:rsidRPr="00C10263">
              <w:rPr>
                <w:rFonts w:eastAsia="Times New Roman" w:cs="Times New Roman"/>
                <w:b/>
                <w:bCs/>
                <w:color w:val="000000"/>
                <w:sz w:val="18"/>
                <w:szCs w:val="18"/>
                <w:lang w:eastAsia="es-MX"/>
              </w:rPr>
              <w:t> </w:t>
            </w:r>
          </w:p>
        </w:tc>
        <w:tc>
          <w:tcPr>
            <w:tcW w:w="500" w:type="dxa"/>
            <w:shd w:val="clear" w:color="000000" w:fill="FFFFFF"/>
            <w:noWrap/>
            <w:hideMark/>
          </w:tcPr>
          <w:p w14:paraId="4502A24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w:t>
            </w:r>
          </w:p>
        </w:tc>
        <w:tc>
          <w:tcPr>
            <w:tcW w:w="4562" w:type="dxa"/>
            <w:gridSpan w:val="4"/>
            <w:shd w:val="clear" w:color="000000" w:fill="FFFFFF"/>
            <w:noWrap/>
            <w:hideMark/>
          </w:tcPr>
          <w:p w14:paraId="1117477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Financiamiento Interno:</w:t>
            </w:r>
          </w:p>
        </w:tc>
        <w:tc>
          <w:tcPr>
            <w:tcW w:w="1566" w:type="dxa"/>
            <w:shd w:val="clear" w:color="000000" w:fill="FFFFFF"/>
            <w:noWrap/>
            <w:hideMark/>
          </w:tcPr>
          <w:p w14:paraId="451E893C"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8,905,315,025</w:t>
            </w:r>
          </w:p>
        </w:tc>
        <w:tc>
          <w:tcPr>
            <w:tcW w:w="1492" w:type="dxa"/>
            <w:shd w:val="clear" w:color="auto" w:fill="auto"/>
            <w:noWrap/>
            <w:hideMark/>
          </w:tcPr>
          <w:p w14:paraId="3F83A22E"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7F1A15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1ECFD26" w14:textId="77777777" w:rsidTr="00C10263">
        <w:trPr>
          <w:trHeight w:val="1065"/>
          <w:jc w:val="center"/>
        </w:trPr>
        <w:tc>
          <w:tcPr>
            <w:tcW w:w="307" w:type="dxa"/>
            <w:shd w:val="clear" w:color="000000" w:fill="FFFFFF"/>
            <w:noWrap/>
            <w:hideMark/>
          </w:tcPr>
          <w:p w14:paraId="1886D1C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072B061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89502FC"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0.3.1</w:t>
            </w:r>
          </w:p>
        </w:tc>
        <w:tc>
          <w:tcPr>
            <w:tcW w:w="3923" w:type="dxa"/>
            <w:gridSpan w:val="3"/>
            <w:shd w:val="clear" w:color="000000" w:fill="FFFFFF"/>
            <w:noWrap/>
            <w:hideMark/>
          </w:tcPr>
          <w:p w14:paraId="27A04F98" w14:textId="42222B70"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Pasivos que se generen como Resultado de Erogaciones que se Devenguen en el Ejercicio Fiscal pero que queden Pendiente</w:t>
            </w:r>
            <w:r w:rsidR="006B1D69" w:rsidRPr="00C10263">
              <w:rPr>
                <w:rFonts w:eastAsia="Times New Roman" w:cs="Times New Roman"/>
                <w:color w:val="000000"/>
                <w:sz w:val="18"/>
                <w:szCs w:val="18"/>
                <w:lang w:eastAsia="es-MX"/>
              </w:rPr>
              <w:t>s</w:t>
            </w:r>
            <w:r w:rsidRPr="00C10263">
              <w:rPr>
                <w:rFonts w:eastAsia="Times New Roman" w:cs="Times New Roman"/>
                <w:color w:val="000000"/>
                <w:sz w:val="18"/>
                <w:szCs w:val="18"/>
                <w:lang w:eastAsia="es-MX"/>
              </w:rPr>
              <w:t xml:space="preserve"> de Liquidar al Cierre del mismo:</w:t>
            </w:r>
          </w:p>
        </w:tc>
        <w:tc>
          <w:tcPr>
            <w:tcW w:w="1566" w:type="dxa"/>
            <w:shd w:val="clear" w:color="000000" w:fill="FFFFFF"/>
            <w:noWrap/>
            <w:hideMark/>
          </w:tcPr>
          <w:p w14:paraId="4C1A501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6,709,482,333</w:t>
            </w:r>
          </w:p>
        </w:tc>
        <w:tc>
          <w:tcPr>
            <w:tcW w:w="1492" w:type="dxa"/>
            <w:shd w:val="clear" w:color="auto" w:fill="auto"/>
            <w:noWrap/>
            <w:hideMark/>
          </w:tcPr>
          <w:p w14:paraId="287F3BFA"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42CB37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3A333A17" w14:textId="77777777" w:rsidTr="00C10263">
        <w:trPr>
          <w:trHeight w:val="255"/>
          <w:jc w:val="center"/>
        </w:trPr>
        <w:tc>
          <w:tcPr>
            <w:tcW w:w="307" w:type="dxa"/>
            <w:shd w:val="clear" w:color="000000" w:fill="FFFFFF"/>
            <w:noWrap/>
            <w:hideMark/>
          </w:tcPr>
          <w:p w14:paraId="6BB8616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B7CF0D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2330A59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C4DC69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0.3.1.1</w:t>
            </w:r>
          </w:p>
        </w:tc>
        <w:tc>
          <w:tcPr>
            <w:tcW w:w="3073" w:type="dxa"/>
            <w:gridSpan w:val="2"/>
            <w:shd w:val="clear" w:color="000000" w:fill="FFFFFF"/>
            <w:noWrap/>
            <w:hideMark/>
          </w:tcPr>
          <w:p w14:paraId="6EC8207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Sector Central.</w:t>
            </w:r>
          </w:p>
        </w:tc>
        <w:tc>
          <w:tcPr>
            <w:tcW w:w="1566" w:type="dxa"/>
            <w:shd w:val="clear" w:color="000000" w:fill="FFFFFF"/>
            <w:noWrap/>
            <w:hideMark/>
          </w:tcPr>
          <w:p w14:paraId="0E924302"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6,709,482,333</w:t>
            </w:r>
          </w:p>
        </w:tc>
        <w:tc>
          <w:tcPr>
            <w:tcW w:w="1492" w:type="dxa"/>
            <w:shd w:val="clear" w:color="auto" w:fill="auto"/>
            <w:noWrap/>
            <w:hideMark/>
          </w:tcPr>
          <w:p w14:paraId="1C216C2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940135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4F177B98" w14:textId="77777777" w:rsidTr="00C10263">
        <w:trPr>
          <w:trHeight w:val="255"/>
          <w:jc w:val="center"/>
        </w:trPr>
        <w:tc>
          <w:tcPr>
            <w:tcW w:w="307" w:type="dxa"/>
            <w:shd w:val="clear" w:color="000000" w:fill="FFFFFF"/>
            <w:noWrap/>
            <w:hideMark/>
          </w:tcPr>
          <w:p w14:paraId="5A48486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220DFB7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0D750DF4"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EA4F792"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0.3.1.2</w:t>
            </w:r>
          </w:p>
        </w:tc>
        <w:tc>
          <w:tcPr>
            <w:tcW w:w="3073" w:type="dxa"/>
            <w:gridSpan w:val="2"/>
            <w:shd w:val="clear" w:color="000000" w:fill="FFFFFF"/>
            <w:noWrap/>
            <w:hideMark/>
          </w:tcPr>
          <w:p w14:paraId="79BA8323"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Sector Auxiliar.</w:t>
            </w:r>
          </w:p>
        </w:tc>
        <w:tc>
          <w:tcPr>
            <w:tcW w:w="1566" w:type="dxa"/>
            <w:shd w:val="clear" w:color="000000" w:fill="FFFFFF"/>
            <w:noWrap/>
            <w:hideMark/>
          </w:tcPr>
          <w:p w14:paraId="0345D38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28D06E42"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F22A4C1"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65069AC" w14:textId="77777777" w:rsidTr="00C10263">
        <w:trPr>
          <w:trHeight w:val="992"/>
          <w:jc w:val="center"/>
        </w:trPr>
        <w:tc>
          <w:tcPr>
            <w:tcW w:w="307" w:type="dxa"/>
            <w:shd w:val="clear" w:color="000000" w:fill="FFFFFF"/>
            <w:noWrap/>
            <w:hideMark/>
          </w:tcPr>
          <w:p w14:paraId="52ED5D3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771F0A5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7CDD486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0.3.2</w:t>
            </w:r>
          </w:p>
        </w:tc>
        <w:tc>
          <w:tcPr>
            <w:tcW w:w="3923" w:type="dxa"/>
            <w:gridSpan w:val="3"/>
            <w:shd w:val="clear" w:color="000000" w:fill="FFFFFF"/>
            <w:noWrap/>
            <w:hideMark/>
          </w:tcPr>
          <w:p w14:paraId="502FA7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Pasivos que se generen como Resultado de la Contratación de Créditos, en Términos del Título Octavo del Código Financiero del Estado de México y Municipios:</w:t>
            </w:r>
          </w:p>
        </w:tc>
        <w:tc>
          <w:tcPr>
            <w:tcW w:w="1566" w:type="dxa"/>
            <w:shd w:val="clear" w:color="000000" w:fill="FFFFFF"/>
            <w:noWrap/>
            <w:hideMark/>
          </w:tcPr>
          <w:p w14:paraId="4F3FA4D5"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2,195,832,692</w:t>
            </w:r>
          </w:p>
        </w:tc>
        <w:tc>
          <w:tcPr>
            <w:tcW w:w="1492" w:type="dxa"/>
            <w:shd w:val="clear" w:color="auto" w:fill="auto"/>
            <w:noWrap/>
            <w:hideMark/>
          </w:tcPr>
          <w:p w14:paraId="57A3602F"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31ADDEF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749FD7F2" w14:textId="77777777" w:rsidTr="004F447C">
        <w:trPr>
          <w:trHeight w:val="964"/>
          <w:jc w:val="center"/>
        </w:trPr>
        <w:tc>
          <w:tcPr>
            <w:tcW w:w="307" w:type="dxa"/>
            <w:shd w:val="clear" w:color="000000" w:fill="FFFFFF"/>
            <w:noWrap/>
            <w:hideMark/>
          </w:tcPr>
          <w:p w14:paraId="05F2DC8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5103EACF"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E53DC05"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122C76F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0.3.2.1</w:t>
            </w:r>
          </w:p>
        </w:tc>
        <w:tc>
          <w:tcPr>
            <w:tcW w:w="3073" w:type="dxa"/>
            <w:gridSpan w:val="2"/>
            <w:shd w:val="clear" w:color="000000" w:fill="FFFFFF"/>
            <w:noWrap/>
            <w:hideMark/>
          </w:tcPr>
          <w:p w14:paraId="4EDCE90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Monto Neto de los Pasivos que se generen como Resultado de la Contratación de Créditos.</w:t>
            </w:r>
          </w:p>
        </w:tc>
        <w:tc>
          <w:tcPr>
            <w:tcW w:w="1566" w:type="dxa"/>
            <w:shd w:val="clear" w:color="000000" w:fill="FFFFFF"/>
            <w:noWrap/>
            <w:hideMark/>
          </w:tcPr>
          <w:p w14:paraId="0BE57337"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1,500,000,000</w:t>
            </w:r>
          </w:p>
        </w:tc>
        <w:tc>
          <w:tcPr>
            <w:tcW w:w="1492" w:type="dxa"/>
            <w:shd w:val="clear" w:color="auto" w:fill="auto"/>
            <w:noWrap/>
            <w:hideMark/>
          </w:tcPr>
          <w:p w14:paraId="7C81B023"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164F2089"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8ACBF1B" w14:textId="77777777" w:rsidTr="004F447C">
        <w:trPr>
          <w:trHeight w:val="993"/>
          <w:jc w:val="center"/>
        </w:trPr>
        <w:tc>
          <w:tcPr>
            <w:tcW w:w="307" w:type="dxa"/>
            <w:shd w:val="clear" w:color="000000" w:fill="FFFFFF"/>
            <w:noWrap/>
            <w:hideMark/>
          </w:tcPr>
          <w:p w14:paraId="332C574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471C014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186AB2A7"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850" w:type="dxa"/>
            <w:shd w:val="clear" w:color="000000" w:fill="FFFFFF"/>
            <w:noWrap/>
            <w:hideMark/>
          </w:tcPr>
          <w:p w14:paraId="505475AD"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0.3.2.2</w:t>
            </w:r>
          </w:p>
        </w:tc>
        <w:tc>
          <w:tcPr>
            <w:tcW w:w="3073" w:type="dxa"/>
            <w:gridSpan w:val="2"/>
            <w:shd w:val="clear" w:color="000000" w:fill="FFFFFF"/>
            <w:noWrap/>
            <w:hideMark/>
          </w:tcPr>
          <w:p w14:paraId="533352DA"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Amortizaciones de los Pasivos que se generen como Resultado de la Contratación de Créditos.</w:t>
            </w:r>
          </w:p>
        </w:tc>
        <w:tc>
          <w:tcPr>
            <w:tcW w:w="1566" w:type="dxa"/>
            <w:shd w:val="clear" w:color="000000" w:fill="FFFFFF"/>
            <w:noWrap/>
            <w:hideMark/>
          </w:tcPr>
          <w:p w14:paraId="72FE4956"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695,832,692</w:t>
            </w:r>
          </w:p>
        </w:tc>
        <w:tc>
          <w:tcPr>
            <w:tcW w:w="1492" w:type="dxa"/>
            <w:shd w:val="clear" w:color="auto" w:fill="auto"/>
            <w:noWrap/>
            <w:hideMark/>
          </w:tcPr>
          <w:p w14:paraId="205067C6"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47A9D066"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r w:rsidR="002B1A02" w:rsidRPr="00E45F9D" w14:paraId="5B150BC0" w14:textId="77777777" w:rsidTr="00C10263">
        <w:trPr>
          <w:trHeight w:val="810"/>
          <w:jc w:val="center"/>
        </w:trPr>
        <w:tc>
          <w:tcPr>
            <w:tcW w:w="307" w:type="dxa"/>
            <w:shd w:val="clear" w:color="000000" w:fill="FFFFFF"/>
            <w:noWrap/>
            <w:hideMark/>
          </w:tcPr>
          <w:p w14:paraId="762C57C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500" w:type="dxa"/>
            <w:shd w:val="clear" w:color="000000" w:fill="FFFFFF"/>
            <w:noWrap/>
            <w:hideMark/>
          </w:tcPr>
          <w:p w14:paraId="1E307FDB"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c>
          <w:tcPr>
            <w:tcW w:w="639" w:type="dxa"/>
            <w:shd w:val="clear" w:color="000000" w:fill="FFFFFF"/>
            <w:noWrap/>
            <w:hideMark/>
          </w:tcPr>
          <w:p w14:paraId="45A5B320"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0.3.3</w:t>
            </w:r>
          </w:p>
        </w:tc>
        <w:tc>
          <w:tcPr>
            <w:tcW w:w="3923" w:type="dxa"/>
            <w:gridSpan w:val="3"/>
            <w:shd w:val="clear" w:color="000000" w:fill="FFFFFF"/>
            <w:noWrap/>
            <w:hideMark/>
          </w:tcPr>
          <w:p w14:paraId="00D59FCE"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Pasivos que se generen como Resultado de la Contratación de Créditos por los Organismos Auxiliares.</w:t>
            </w:r>
          </w:p>
        </w:tc>
        <w:tc>
          <w:tcPr>
            <w:tcW w:w="1566" w:type="dxa"/>
            <w:shd w:val="clear" w:color="000000" w:fill="FFFFFF"/>
            <w:noWrap/>
            <w:hideMark/>
          </w:tcPr>
          <w:p w14:paraId="1E6058C3" w14:textId="77777777" w:rsidR="002B1A02" w:rsidRPr="00C10263" w:rsidRDefault="002B1A02" w:rsidP="00650F9E">
            <w:pPr>
              <w:spacing w:line="240" w:lineRule="auto"/>
              <w:jc w:val="right"/>
              <w:rPr>
                <w:rFonts w:eastAsia="Times New Roman" w:cs="Times New Roman"/>
                <w:color w:val="000000"/>
                <w:sz w:val="18"/>
                <w:szCs w:val="18"/>
                <w:lang w:eastAsia="es-MX"/>
              </w:rPr>
            </w:pPr>
            <w:r w:rsidRPr="00C10263">
              <w:rPr>
                <w:rFonts w:eastAsia="Times New Roman" w:cs="Times New Roman"/>
                <w:color w:val="000000"/>
                <w:sz w:val="18"/>
                <w:szCs w:val="18"/>
                <w:lang w:eastAsia="es-MX"/>
              </w:rPr>
              <w:t>0</w:t>
            </w:r>
          </w:p>
        </w:tc>
        <w:tc>
          <w:tcPr>
            <w:tcW w:w="1492" w:type="dxa"/>
            <w:shd w:val="clear" w:color="auto" w:fill="auto"/>
            <w:noWrap/>
            <w:hideMark/>
          </w:tcPr>
          <w:p w14:paraId="7139E9C9" w14:textId="77777777" w:rsidR="002B1A02" w:rsidRPr="00C10263" w:rsidRDefault="002B1A02" w:rsidP="00650F9E">
            <w:pPr>
              <w:spacing w:line="240" w:lineRule="auto"/>
              <w:jc w:val="right"/>
              <w:rPr>
                <w:rFonts w:eastAsia="Times New Roman" w:cs="Times New Roman"/>
                <w:color w:val="000000"/>
                <w:sz w:val="18"/>
                <w:szCs w:val="18"/>
                <w:lang w:eastAsia="es-MX"/>
              </w:rPr>
            </w:pPr>
          </w:p>
        </w:tc>
        <w:tc>
          <w:tcPr>
            <w:tcW w:w="1492" w:type="dxa"/>
            <w:shd w:val="clear" w:color="000000" w:fill="FFFFFF"/>
            <w:noWrap/>
            <w:hideMark/>
          </w:tcPr>
          <w:p w14:paraId="55CAAB28" w14:textId="77777777" w:rsidR="002B1A02" w:rsidRPr="00C10263" w:rsidRDefault="002B1A02" w:rsidP="00650F9E">
            <w:pPr>
              <w:spacing w:line="240" w:lineRule="auto"/>
              <w:rPr>
                <w:rFonts w:eastAsia="Times New Roman" w:cs="Times New Roman"/>
                <w:color w:val="000000"/>
                <w:sz w:val="18"/>
                <w:szCs w:val="18"/>
                <w:lang w:eastAsia="es-MX"/>
              </w:rPr>
            </w:pPr>
            <w:r w:rsidRPr="00C10263">
              <w:rPr>
                <w:rFonts w:eastAsia="Times New Roman" w:cs="Times New Roman"/>
                <w:color w:val="000000"/>
                <w:sz w:val="18"/>
                <w:szCs w:val="18"/>
                <w:lang w:eastAsia="es-MX"/>
              </w:rPr>
              <w:t> </w:t>
            </w:r>
          </w:p>
        </w:tc>
      </w:tr>
    </w:tbl>
    <w:p w14:paraId="5DBAFEDB" w14:textId="77777777" w:rsidR="002B1A02" w:rsidRPr="002B1A02" w:rsidRDefault="002B1A02" w:rsidP="002B1A02"/>
    <w:p w14:paraId="0735E304" w14:textId="34A1CFA6" w:rsidR="006B1C2A" w:rsidRPr="0050382A" w:rsidRDefault="00E11944" w:rsidP="00A72406">
      <w:pPr>
        <w:ind w:left="-426"/>
        <w:rPr>
          <w:sz w:val="22"/>
          <w:szCs w:val="22"/>
        </w:rPr>
      </w:pPr>
      <w:r w:rsidRPr="0050382A">
        <w:rPr>
          <w:b/>
          <w:bCs/>
          <w:sz w:val="22"/>
          <w:szCs w:val="22"/>
        </w:rPr>
        <w:t xml:space="preserve">Artículo 2.- </w:t>
      </w:r>
      <w:r w:rsidR="00050F88" w:rsidRPr="0050382A">
        <w:rPr>
          <w:sz w:val="22"/>
          <w:szCs w:val="22"/>
        </w:rPr>
        <w:t>Con el propósito de detonar la actividad económica, así como generar empleos en el Estado de México, se tiene contemplado impulsar la inversión pública productiva en los siguientes rubros de infraestructura económica: conectividad aeroportuaria, infraestructura vial, obra pública, salud, transporte masivo, sistema de saneamiento y drenaje y proyectos de electrificación; para apoyar dicho propósito, previo análisis de la capacidad de pago del Gobierno del Estado de México, así como del otorgamiento de recursos como fuente o garantía de pago y destino de los financiamientos, se autoriza al Gobierno del Estado a través del Titular del Ejecutivo del Estado, por sí o por conducto de la Secretaría de Finanzas, para llevar a cabo la contratación de (i) financiamiento neto hasta por un monto de $1,500,000,000.00 (Mil quinientos millones de pesos 00/100 M.N.), para ser destinados a los rubros de inversión señalados en el presente párrafo; y (ii) de Instrumentos Derivados que conlleven obligaciones de pago a cargo del Estado, por plazos menores o mayores a un año, para cubrir los riesgos de tasa de interés de los financiamientos que se contraten al amparo de la presente autorización, así como de cualquier otro crédito que haya sido contratado previamente y forme parte del saldo de la deuda pública del Gobierno del Estado de México los cuales podrán compartir la misma fuente de pago de los financiamientos que respaldan. Lo anterior, siempre y cuando no se rebase el techo de las contrataciones establecidas en el artículo 46 de la Ley de Disciplina Financiera de las Entidades Federativas y los Municipios.</w:t>
      </w:r>
    </w:p>
    <w:p w14:paraId="3EA7D5C4" w14:textId="77777777" w:rsidR="00F606C2" w:rsidRPr="0050382A" w:rsidRDefault="00F606C2" w:rsidP="00F606C2">
      <w:pPr>
        <w:rPr>
          <w:sz w:val="22"/>
          <w:szCs w:val="22"/>
        </w:rPr>
      </w:pPr>
    </w:p>
    <w:p w14:paraId="2EC69F23" w14:textId="6DE50D23" w:rsidR="00050F88" w:rsidRPr="0050382A" w:rsidRDefault="00050F88" w:rsidP="00F606C2">
      <w:pPr>
        <w:rPr>
          <w:sz w:val="22"/>
          <w:szCs w:val="22"/>
        </w:rPr>
      </w:pPr>
      <w:r w:rsidRPr="0050382A">
        <w:rPr>
          <w:sz w:val="22"/>
          <w:szCs w:val="22"/>
        </w:rPr>
        <w:lastRenderedPageBreak/>
        <w:t>En todo caso, el o los financiamientos podrán ser contratados por un plazo de hasta 25 (veinticinco) años o su equivalente en meses y/o días según corresponda, contados a partir de la primera disposición de recursos de cada uno de los financiamientos bancarios o de cada colocación de los valores derivados de los financiamientos bursátiles, según corresponda o su equivalente en Unidades de Inversión, al momento de la celebración del o de los instrumentos correspondientes, mismos que deberán ser destinados a inversión pública productiva en términos de la Ley de Disciplina Financiera de las Entidades Federativas y los Municipios y del Código Financiero del Estado de México y Municipios, en los rubros descritos en el párrafo primero del presente artículo, incluido en su caso el Impuesto al Valor Agregado y sin perjuicio de que se puedan constituir con cargo a el o los financiamientos, los fondos de reserva que se requieran, sin exceder del 0.15 por ciento del importe del o los financiamientos, según corresponda; se podrán pagar de igual forma, con cargo al o a los mismos, los gastos y costos relacionados con la contratación, así como los costos relacionados a contrataciones de instrumentos derivados para la cobertura de tasas de interés, en términos del artículo 22 de la Ley de Disciplina Financiera de las Entidades Federativas y Municipios. La fuente de pago de las operaciones autorizadas mediante el presente artículo, incluyendo en su caso, la constitución o reconstitución de los fondos de reserva que se requieran, será el Fondo General de Participaciones afecto al patrimonio del Fideicomiso que se identifica actualmente bajo el número F/00105 y que administra CI Banco, S.A. Institución de Banca Múltiple, en su modalidad de institución fiduciaria, autorizado por la Legislatura Estatal mediante los Decretos Números 48 y 84 publicados en el Periódico Oficial “Gaceta del Gobierno” en fechas 4 de junio de 2004 y 29 de octubre de 2007, respectivamente, así como por el Decreto 318 publicado el 10 de agosto de 2018, y/o el Fondo de Aportaciones para el Fortalecimiento de las Entidades Federativas, en términos del artículo 50 de la Ley de Coordinación Fiscal.</w:t>
      </w:r>
    </w:p>
    <w:p w14:paraId="14D3CB5F" w14:textId="77777777" w:rsidR="00050F88" w:rsidRPr="0050382A" w:rsidRDefault="00050F88" w:rsidP="00F606C2">
      <w:pPr>
        <w:rPr>
          <w:sz w:val="22"/>
          <w:szCs w:val="22"/>
        </w:rPr>
      </w:pPr>
    </w:p>
    <w:p w14:paraId="1C2DC432" w14:textId="77777777" w:rsidR="00050F88" w:rsidRPr="0050382A" w:rsidRDefault="00050F88" w:rsidP="00F606C2">
      <w:pPr>
        <w:rPr>
          <w:sz w:val="22"/>
          <w:szCs w:val="22"/>
        </w:rPr>
      </w:pPr>
      <w:r w:rsidRPr="0050382A">
        <w:rPr>
          <w:sz w:val="22"/>
          <w:szCs w:val="22"/>
        </w:rPr>
        <w:t>El Titular del Ejecutivo del Estado por sí o por conducto de la Secretaría de Finanzas, podrá ejercer el monto anterior mediante, (i) la celebración de uno o varios financiamientos, con instituciones de banca múltiple o banca de desarrollo de nacionalidad mexicana o (ii) la emisión de valores y la colocación de estos a través del mercado bursátil, los cuales únicamente podrán ser adquiridos por personas físicas o jurídicas colectivas de nacionalidad mexicana y contendrán la prohibición de su venta a extranjeros, en términos de las disposiciones aplicables. En ambos casos, los financiamientos bancarios y/o bursátiles serán pagaderos en pesos, dentro del territorio nacional, incluyendo la contratación de Instrumentos Derivados que conlleven obligaciones de pago a cargo del Estado por plazos menores o mayores a un año, para mitigar los riesgos de tasa de interés relacionados con los financiamientos bancarios y/o bursátiles. Los Instrumentos Derivados, podrán cubrir los riesgos de tasa de interés de financiamientos que se contraten al amparo de la presente autorización, así como de cualquier otro crédito que haya sido contratado previamente y forme parte del saldo de la deuda pública del Gobierno del Estado de México.</w:t>
      </w:r>
    </w:p>
    <w:p w14:paraId="22CC6CFC" w14:textId="77777777" w:rsidR="00050F88" w:rsidRPr="0050382A" w:rsidRDefault="00050F88" w:rsidP="00F606C2">
      <w:pPr>
        <w:rPr>
          <w:sz w:val="22"/>
          <w:szCs w:val="22"/>
        </w:rPr>
      </w:pPr>
    </w:p>
    <w:p w14:paraId="177DC994" w14:textId="77777777" w:rsidR="00050F88" w:rsidRPr="0050382A" w:rsidRDefault="00050F88" w:rsidP="00F606C2">
      <w:pPr>
        <w:rPr>
          <w:sz w:val="22"/>
          <w:szCs w:val="22"/>
        </w:rPr>
      </w:pPr>
      <w:r w:rsidRPr="0050382A">
        <w:rPr>
          <w:sz w:val="22"/>
          <w:szCs w:val="22"/>
        </w:rPr>
        <w:lastRenderedPageBreak/>
        <w:t>Al reporte trimestral que prevé el Título Octavo del Código Financiero del Estado de México y Municipios, específicamente en su artículo 263 fracción XI, que se envíe a la Legislatura Local, deberá acompañarse de la información que comprenda los pagos realizados por concepto de financiamiento de inversión pública productiva en términos del Código Financiero del Estado de México y Municipios y el porcentaje que represente el monto de la emisión y colocación de valores que estén destinados a circular en el mercado de valores, durante el período correspondiente.</w:t>
      </w:r>
    </w:p>
    <w:p w14:paraId="4FAAF7EC" w14:textId="77777777" w:rsidR="00050F88" w:rsidRPr="0050382A" w:rsidRDefault="00050F88" w:rsidP="00F606C2">
      <w:pPr>
        <w:rPr>
          <w:sz w:val="22"/>
          <w:szCs w:val="22"/>
        </w:rPr>
      </w:pPr>
    </w:p>
    <w:p w14:paraId="6CF60BAC" w14:textId="77777777" w:rsidR="00050F88" w:rsidRPr="0050382A" w:rsidRDefault="00050F88" w:rsidP="00F606C2">
      <w:pPr>
        <w:rPr>
          <w:sz w:val="22"/>
          <w:szCs w:val="22"/>
        </w:rPr>
      </w:pPr>
      <w:r w:rsidRPr="0050382A">
        <w:rPr>
          <w:sz w:val="22"/>
          <w:szCs w:val="22"/>
        </w:rPr>
        <w:t>Asimismo, siempre y cuando las condiciones del mercado lo permitan, el Gobierno del Estado de México, a través del Titular del Ejecutivo del Estado, por sí o por conducto de la Secretaría de Finanzas, podrá refinanciar, reestructurar o recontratar créditos u obligaciones de garantía o pago derivadas de operaciones crediticias inscritas en el Registro de Deuda Pública o de los Proyectos de Prestación de Servicios o programas multianuales con componentes financieros, informando a la Legislatura Local de los ahorros y beneficios que se espera obtener, sin que dicha reestructuración compute para el techo de endeudamiento señalado en el presente artículo.</w:t>
      </w:r>
    </w:p>
    <w:p w14:paraId="362AB7C0" w14:textId="77777777" w:rsidR="00050F88" w:rsidRPr="0050382A" w:rsidRDefault="00050F88" w:rsidP="00F606C2">
      <w:pPr>
        <w:rPr>
          <w:rFonts w:cs="ArialMT"/>
          <w:sz w:val="22"/>
          <w:szCs w:val="22"/>
        </w:rPr>
      </w:pPr>
    </w:p>
    <w:p w14:paraId="6261A892" w14:textId="4086A445" w:rsidR="00757558" w:rsidRPr="0050382A" w:rsidRDefault="00050F88" w:rsidP="00F606C2">
      <w:pPr>
        <w:rPr>
          <w:sz w:val="22"/>
          <w:szCs w:val="22"/>
        </w:rPr>
      </w:pPr>
      <w:r w:rsidRPr="0050382A">
        <w:rPr>
          <w:sz w:val="22"/>
          <w:szCs w:val="22"/>
        </w:rPr>
        <w:t>Adicionalmente, se autoriza al Gobierno del Estado de México, a través del Titular del Ejecutivo del Estado, por sí o por conducto de la Secretaría de Finanzas, para que se realicen todas las gestiones, negociaciones, solicitudes y trámites necesarios, así como para que celebren y/o suscriban todos los documentos, títulos de crédito, contratos, convenios, mecanismos, instrucciones irrevocables, o cualquier instrumento legal que se requiera para formalizar los financiamientos, emisiones bursátiles, garantías de pago oportuno e instrumentos de cobertura que se formalicen con base en lo que se autoriza en el presente artículo, y para que pacten las características, monto, condiciones y términos, bajo las modalidades que consideren más convenientes, así como para que formalicen todos los actos jurídicos necesarios para cumplir con las disposiciones del presente artículo y de la legislación y normativa aplicable.</w:t>
      </w:r>
    </w:p>
    <w:p w14:paraId="0858BC38" w14:textId="77777777" w:rsidR="00050F88" w:rsidRPr="00DC176D" w:rsidRDefault="00050F88" w:rsidP="00F606C2">
      <w:pPr>
        <w:rPr>
          <w:sz w:val="18"/>
          <w:szCs w:val="18"/>
        </w:rPr>
      </w:pPr>
    </w:p>
    <w:p w14:paraId="5AB2FBF6" w14:textId="4CA43434" w:rsidR="00E11944" w:rsidRPr="0050382A" w:rsidRDefault="00E11944" w:rsidP="00F606C2">
      <w:pPr>
        <w:rPr>
          <w:sz w:val="22"/>
          <w:szCs w:val="22"/>
        </w:rPr>
      </w:pPr>
      <w:r w:rsidRPr="0050382A">
        <w:rPr>
          <w:b/>
          <w:bCs/>
          <w:sz w:val="22"/>
          <w:szCs w:val="22"/>
        </w:rPr>
        <w:t xml:space="preserve">Artículo 3.- </w:t>
      </w:r>
      <w:r w:rsidR="000960B3" w:rsidRPr="0050382A">
        <w:rPr>
          <w:sz w:val="22"/>
          <w:szCs w:val="22"/>
        </w:rPr>
        <w:t>Los ingresos provenientes de los conceptos enumerados en el artículo 1 de esta Ley</w:t>
      </w:r>
      <w:r w:rsidR="00604441" w:rsidRPr="0050382A">
        <w:rPr>
          <w:sz w:val="22"/>
          <w:szCs w:val="22"/>
        </w:rPr>
        <w:t>,</w:t>
      </w:r>
      <w:r w:rsidR="000960B3" w:rsidRPr="0050382A">
        <w:rPr>
          <w:sz w:val="22"/>
          <w:szCs w:val="22"/>
        </w:rPr>
        <w:t xml:space="preserve"> se recaudarán por la Secretaría de Finanzas en la Caja General de Gobierno de la Subsecretaría de Tesorería; en instituciones del sistema financiero mexicano o en los establecimientos autorizados para realizar las gestiones inherentes a la recaudación, así como por los </w:t>
      </w:r>
      <w:r w:rsidR="00604441" w:rsidRPr="0050382A">
        <w:rPr>
          <w:sz w:val="22"/>
          <w:szCs w:val="22"/>
        </w:rPr>
        <w:t>Municipios</w:t>
      </w:r>
      <w:r w:rsidR="000960B3" w:rsidRPr="0050382A">
        <w:rPr>
          <w:sz w:val="22"/>
          <w:szCs w:val="22"/>
        </w:rPr>
        <w:t xml:space="preserve"> con los que se convenga que </w:t>
      </w:r>
      <w:r w:rsidR="00604441" w:rsidRPr="0050382A">
        <w:rPr>
          <w:sz w:val="22"/>
          <w:szCs w:val="22"/>
        </w:rPr>
        <w:t xml:space="preserve">se </w:t>
      </w:r>
      <w:r w:rsidR="000960B3" w:rsidRPr="0050382A">
        <w:rPr>
          <w:sz w:val="22"/>
          <w:szCs w:val="22"/>
        </w:rPr>
        <w:t>realice por cuenta de la Dependencia, la captación de los ingresos públicos para su concentración correspondiente al erario estatal, salvo los ingresos propios de Organismos Autónomos y de los poderes Legislativo y Judicial, así como los afectos en fideicomisos de garantía, fuente de pago o administración e inversión, los cuales serán percibidos de manera directa. Para tal efecto, la Secretaría de Finanzas publicará en el Periódico Oficial “Gaceta del Gobierno”, las Reglas de Carácter General que fijen los requisitos, obligaciones y procedimientos relativos a la captación o recepción y los comprobantes de pago de los ingresos.</w:t>
      </w:r>
    </w:p>
    <w:p w14:paraId="0E6C0D82" w14:textId="624EEE85" w:rsidR="000960B3" w:rsidRPr="009A0196" w:rsidRDefault="000960B3" w:rsidP="00F606C2">
      <w:pPr>
        <w:rPr>
          <w:sz w:val="10"/>
          <w:szCs w:val="10"/>
        </w:rPr>
      </w:pPr>
    </w:p>
    <w:p w14:paraId="72F1C8DD" w14:textId="765F7034" w:rsidR="000960B3" w:rsidRPr="0050382A" w:rsidRDefault="000960B3" w:rsidP="00F606C2">
      <w:pPr>
        <w:rPr>
          <w:sz w:val="22"/>
          <w:szCs w:val="22"/>
        </w:rPr>
      </w:pPr>
      <w:r w:rsidRPr="0050382A">
        <w:rPr>
          <w:sz w:val="22"/>
          <w:szCs w:val="22"/>
        </w:rPr>
        <w:lastRenderedPageBreak/>
        <w:t xml:space="preserve">Las Entidades Públicas que reciban ingresos de los señalados en el artículo 1 de esta Ley, deberán suscribir un </w:t>
      </w:r>
      <w:r w:rsidR="00604441" w:rsidRPr="0050382A">
        <w:rPr>
          <w:sz w:val="22"/>
          <w:szCs w:val="22"/>
        </w:rPr>
        <w:t>C</w:t>
      </w:r>
      <w:r w:rsidRPr="0050382A">
        <w:rPr>
          <w:sz w:val="22"/>
          <w:szCs w:val="22"/>
        </w:rPr>
        <w:t xml:space="preserve">onvenio de </w:t>
      </w:r>
      <w:r w:rsidR="00604441" w:rsidRPr="0050382A">
        <w:rPr>
          <w:sz w:val="22"/>
          <w:szCs w:val="22"/>
        </w:rPr>
        <w:t>C</w:t>
      </w:r>
      <w:r w:rsidRPr="0050382A">
        <w:rPr>
          <w:sz w:val="22"/>
          <w:szCs w:val="22"/>
        </w:rPr>
        <w:t>olaboración con el Gobierno del Estado de México, por conducto de la Secretaría de Finanzas, para que dichos ingresos se cobren a través de la Caja General de Gobierno de la Subsecretaría de Tesorería, en instituciones del sistema financiero mexicano, o en los establecimientos autorizados para tal efecto, mismos que deberán referirse en dicho convenio</w:t>
      </w:r>
      <w:r w:rsidR="00080C43">
        <w:rPr>
          <w:sz w:val="22"/>
          <w:szCs w:val="22"/>
        </w:rPr>
        <w:t>; excluyendo de esta disposición a las Entidades Públicas coordinadas por el sector de seguridad social.</w:t>
      </w:r>
    </w:p>
    <w:p w14:paraId="0157A8B2" w14:textId="77777777" w:rsidR="00446B7C" w:rsidRPr="00DC176D" w:rsidRDefault="00446B7C" w:rsidP="00F606C2">
      <w:pPr>
        <w:rPr>
          <w:sz w:val="18"/>
          <w:szCs w:val="18"/>
        </w:rPr>
      </w:pPr>
    </w:p>
    <w:p w14:paraId="2B20B80F" w14:textId="77777777" w:rsidR="000960B3" w:rsidRPr="0050382A" w:rsidRDefault="000960B3" w:rsidP="00F606C2">
      <w:pPr>
        <w:rPr>
          <w:sz w:val="22"/>
          <w:szCs w:val="22"/>
        </w:rPr>
      </w:pPr>
      <w:r w:rsidRPr="0050382A">
        <w:rPr>
          <w:sz w:val="22"/>
          <w:szCs w:val="22"/>
        </w:rPr>
        <w:t>Para tal efecto, las Entidades Públicas tendrán de plazo hasta el 1º de abril para realizar la firma de los convenios referidos en el párrafo anterior.</w:t>
      </w:r>
    </w:p>
    <w:p w14:paraId="2141D544" w14:textId="77777777" w:rsidR="000960B3" w:rsidRPr="00DC176D" w:rsidRDefault="000960B3" w:rsidP="00F606C2">
      <w:pPr>
        <w:rPr>
          <w:sz w:val="18"/>
          <w:szCs w:val="18"/>
        </w:rPr>
      </w:pPr>
    </w:p>
    <w:p w14:paraId="759F65EB" w14:textId="34912827" w:rsidR="000960B3" w:rsidRPr="0050382A" w:rsidRDefault="000960B3" w:rsidP="00F606C2">
      <w:pPr>
        <w:rPr>
          <w:sz w:val="22"/>
          <w:szCs w:val="22"/>
        </w:rPr>
      </w:pPr>
      <w:r w:rsidRPr="0050382A">
        <w:rPr>
          <w:sz w:val="22"/>
          <w:szCs w:val="22"/>
        </w:rPr>
        <w:t>En el caso de que se registren excedentes por ingresos de libre disposición, su aplicación se hará en términos de lo establecido en la Ley de Disciplina Financiera de las Entidades Federativas y los Municipios, el Código Financiero del Estado de México y Municipios y en el Presupuesto de Egresos correspondiente.</w:t>
      </w:r>
    </w:p>
    <w:p w14:paraId="7F15EEDD" w14:textId="77777777" w:rsidR="000960B3" w:rsidRPr="00DC176D" w:rsidRDefault="000960B3" w:rsidP="00F606C2">
      <w:pPr>
        <w:rPr>
          <w:sz w:val="18"/>
          <w:szCs w:val="18"/>
        </w:rPr>
      </w:pPr>
    </w:p>
    <w:p w14:paraId="0779964A" w14:textId="4E476635" w:rsidR="000960B3" w:rsidRPr="0050382A" w:rsidRDefault="000960B3" w:rsidP="00F606C2">
      <w:pPr>
        <w:rPr>
          <w:sz w:val="22"/>
          <w:szCs w:val="22"/>
        </w:rPr>
      </w:pPr>
      <w:r w:rsidRPr="0050382A">
        <w:rPr>
          <w:sz w:val="22"/>
          <w:szCs w:val="22"/>
        </w:rPr>
        <w:t xml:space="preserve">Las cantidades recaudadas deberán depositarse en las cuentas bancarias autorizadas, debiendo inscribirse cualquiera que sea su forma o naturaleza, tanto en los registros de la propia Secretaría como en la Cuenta Pública que </w:t>
      </w:r>
      <w:r w:rsidR="00604441" w:rsidRPr="0050382A">
        <w:rPr>
          <w:sz w:val="22"/>
          <w:szCs w:val="22"/>
        </w:rPr>
        <w:t>e</w:t>
      </w:r>
      <w:r w:rsidRPr="0050382A">
        <w:rPr>
          <w:sz w:val="22"/>
          <w:szCs w:val="22"/>
        </w:rPr>
        <w:t>sta formule.</w:t>
      </w:r>
    </w:p>
    <w:p w14:paraId="5E874E0D" w14:textId="77777777" w:rsidR="000960B3" w:rsidRPr="009A0196" w:rsidRDefault="000960B3" w:rsidP="00F606C2">
      <w:pPr>
        <w:rPr>
          <w:sz w:val="18"/>
          <w:szCs w:val="18"/>
        </w:rPr>
      </w:pPr>
    </w:p>
    <w:p w14:paraId="07CA3945" w14:textId="3132DE9F" w:rsidR="000960B3" w:rsidRPr="0050382A" w:rsidRDefault="000960B3" w:rsidP="00F606C2">
      <w:pPr>
        <w:rPr>
          <w:sz w:val="22"/>
          <w:szCs w:val="22"/>
        </w:rPr>
      </w:pPr>
      <w:r w:rsidRPr="0050382A">
        <w:rPr>
          <w:sz w:val="22"/>
          <w:szCs w:val="22"/>
        </w:rPr>
        <w:t xml:space="preserve">Los ingresos que reciban los Organismos Públicos Descentralizados derivados de fideicomisos en los que participen en los términos del artículo 265 B Bis del Código Financiero del Estado de México y Municipios, deberán aplicarse conforme a las disposiciones legales aplicables, y el remanente deberá ser entregado a la Secretaría de Finanzas o a quien </w:t>
      </w:r>
      <w:r w:rsidR="00151D5E" w:rsidRPr="0050382A">
        <w:rPr>
          <w:sz w:val="22"/>
          <w:szCs w:val="22"/>
        </w:rPr>
        <w:t>é</w:t>
      </w:r>
      <w:r w:rsidRPr="0050382A">
        <w:rPr>
          <w:sz w:val="22"/>
          <w:szCs w:val="22"/>
        </w:rPr>
        <w:t>sta designe, para su aplicación de acuerdo a</w:t>
      </w:r>
      <w:r w:rsidR="00381741" w:rsidRPr="0050382A">
        <w:rPr>
          <w:sz w:val="22"/>
          <w:szCs w:val="22"/>
        </w:rPr>
        <w:t xml:space="preserve"> lo dispuesto en e</w:t>
      </w:r>
      <w:r w:rsidRPr="0050382A">
        <w:rPr>
          <w:sz w:val="22"/>
          <w:szCs w:val="22"/>
        </w:rPr>
        <w:t xml:space="preserve">l Código Financiero del Estado de México y Municipios y </w:t>
      </w:r>
      <w:r w:rsidR="00381741" w:rsidRPr="0050382A">
        <w:rPr>
          <w:sz w:val="22"/>
          <w:szCs w:val="22"/>
        </w:rPr>
        <w:t>en</w:t>
      </w:r>
      <w:r w:rsidRPr="0050382A">
        <w:rPr>
          <w:sz w:val="22"/>
          <w:szCs w:val="22"/>
        </w:rPr>
        <w:t xml:space="preserve"> la Ley de Disciplina Financiera de las Entidades Federativas y los Municipios.</w:t>
      </w:r>
    </w:p>
    <w:p w14:paraId="4BBB7C31" w14:textId="7403B8CC" w:rsidR="000960B3" w:rsidRPr="009A0196" w:rsidRDefault="000960B3" w:rsidP="00F606C2">
      <w:pPr>
        <w:rPr>
          <w:sz w:val="18"/>
          <w:szCs w:val="18"/>
        </w:rPr>
      </w:pPr>
    </w:p>
    <w:p w14:paraId="23930258" w14:textId="203AB20F" w:rsidR="00E11944" w:rsidRPr="0050382A" w:rsidRDefault="00E11944" w:rsidP="00F606C2">
      <w:pPr>
        <w:rPr>
          <w:sz w:val="22"/>
          <w:szCs w:val="22"/>
        </w:rPr>
      </w:pPr>
      <w:r w:rsidRPr="0050382A">
        <w:rPr>
          <w:b/>
          <w:bCs/>
          <w:sz w:val="22"/>
          <w:szCs w:val="22"/>
        </w:rPr>
        <w:t xml:space="preserve">Artículo 4.- </w:t>
      </w:r>
      <w:r w:rsidR="000960B3" w:rsidRPr="0050382A">
        <w:rPr>
          <w:sz w:val="22"/>
          <w:szCs w:val="22"/>
        </w:rPr>
        <w:t>Los accesorios de los impuestos estatales que deba percibir el fisco estatal, provenientes de su actividad recaudadora o fiscalizadora, se destinarán al establecimiento de un programa de estímulos a la productividad, así como a acciones encaminadas a incrementar el ingreso de los recursos tributarios de la Entidad.</w:t>
      </w:r>
    </w:p>
    <w:p w14:paraId="50C4E325" w14:textId="2C4AE5CC" w:rsidR="000960B3" w:rsidRPr="009A0196" w:rsidRDefault="000960B3" w:rsidP="00F606C2">
      <w:pPr>
        <w:rPr>
          <w:sz w:val="18"/>
          <w:szCs w:val="18"/>
        </w:rPr>
      </w:pPr>
    </w:p>
    <w:p w14:paraId="505E9767" w14:textId="07933BC7" w:rsidR="000960B3" w:rsidRPr="0050382A" w:rsidRDefault="000960B3" w:rsidP="00F606C2">
      <w:pPr>
        <w:rPr>
          <w:sz w:val="22"/>
          <w:szCs w:val="22"/>
        </w:rPr>
      </w:pPr>
      <w:r w:rsidRPr="0050382A">
        <w:rPr>
          <w:sz w:val="22"/>
          <w:szCs w:val="22"/>
        </w:rPr>
        <w:t>El programa a que se refiere el párrafo anterior</w:t>
      </w:r>
      <w:r w:rsidR="00381741" w:rsidRPr="0050382A">
        <w:rPr>
          <w:sz w:val="22"/>
          <w:szCs w:val="22"/>
        </w:rPr>
        <w:t>,</w:t>
      </w:r>
      <w:r w:rsidRPr="0050382A">
        <w:rPr>
          <w:sz w:val="22"/>
          <w:szCs w:val="22"/>
        </w:rPr>
        <w:t xml:space="preserve"> se aplicará conforme a lo dispuesto en las Reglas de Carácter General que para tal efecto emita</w:t>
      </w:r>
      <w:r w:rsidR="00381741" w:rsidRPr="0050382A">
        <w:rPr>
          <w:sz w:val="22"/>
          <w:szCs w:val="22"/>
        </w:rPr>
        <w:t xml:space="preserve"> y publique</w:t>
      </w:r>
      <w:r w:rsidRPr="0050382A">
        <w:rPr>
          <w:sz w:val="22"/>
          <w:szCs w:val="22"/>
        </w:rPr>
        <w:t xml:space="preserve"> la Secretaría de Finanzas</w:t>
      </w:r>
      <w:r w:rsidR="00381741" w:rsidRPr="0050382A">
        <w:rPr>
          <w:sz w:val="22"/>
          <w:szCs w:val="22"/>
        </w:rPr>
        <w:t xml:space="preserve"> en el Periódico Oficial “Gaceta del Gobierno”.</w:t>
      </w:r>
    </w:p>
    <w:p w14:paraId="59CDB066" w14:textId="77777777" w:rsidR="00E11944" w:rsidRPr="009A0196" w:rsidRDefault="00E11944" w:rsidP="00F606C2">
      <w:pPr>
        <w:rPr>
          <w:rFonts w:cs="ArialMT"/>
          <w:color w:val="BFBFBF" w:themeColor="background1" w:themeShade="BF"/>
          <w:sz w:val="18"/>
          <w:szCs w:val="18"/>
        </w:rPr>
      </w:pPr>
    </w:p>
    <w:p w14:paraId="42F52F5E" w14:textId="4F3958F4" w:rsidR="00E11944" w:rsidRPr="0050382A" w:rsidRDefault="00E11944" w:rsidP="00F606C2">
      <w:pPr>
        <w:rPr>
          <w:b/>
          <w:bCs/>
          <w:sz w:val="22"/>
          <w:szCs w:val="22"/>
        </w:rPr>
      </w:pPr>
      <w:r w:rsidRPr="0050382A">
        <w:rPr>
          <w:b/>
          <w:bCs/>
          <w:sz w:val="22"/>
          <w:szCs w:val="22"/>
        </w:rPr>
        <w:t xml:space="preserve">Artículo 5.- </w:t>
      </w:r>
      <w:r w:rsidR="000960B3" w:rsidRPr="0050382A">
        <w:rPr>
          <w:sz w:val="22"/>
          <w:szCs w:val="22"/>
        </w:rPr>
        <w:t>Las tasas, cuotas y tarifas de los impuestos y derechos establecidos en el Título Tercero del Código Financiero del Estado de México y Municipios, podrán reducirse cuando el Titular del Poder Ejecutivo del Estado, previa autorización de la Legislatura del Estado así lo convenga con el Gobierno Federal en el marco del Sistema Nacional de Coordinación Fiscal, con el propósito de que el Estado obtenga mayores participaciones derivadas de gravámenes y fondos federales repartibles y siempre que sus montos las compensen. Dicha autorización y el convenio respectivo serán publica</w:t>
      </w:r>
      <w:r w:rsidR="00381741" w:rsidRPr="0050382A">
        <w:rPr>
          <w:sz w:val="22"/>
          <w:szCs w:val="22"/>
        </w:rPr>
        <w:t>dos</w:t>
      </w:r>
      <w:r w:rsidR="000960B3" w:rsidRPr="0050382A">
        <w:rPr>
          <w:sz w:val="22"/>
          <w:szCs w:val="22"/>
        </w:rPr>
        <w:t xml:space="preserve"> en el Periódico Oficial “Gaceta del Gobierno”.</w:t>
      </w:r>
    </w:p>
    <w:p w14:paraId="5326FBB8" w14:textId="77777777" w:rsidR="00E11944" w:rsidRPr="009A0196" w:rsidRDefault="00E11944" w:rsidP="00F606C2">
      <w:pPr>
        <w:rPr>
          <w:rFonts w:cs="ArialMT"/>
          <w:color w:val="BFBFBF" w:themeColor="background1" w:themeShade="BF"/>
          <w:sz w:val="10"/>
          <w:szCs w:val="10"/>
        </w:rPr>
      </w:pPr>
    </w:p>
    <w:p w14:paraId="1993A221" w14:textId="1679280F" w:rsidR="00E11944" w:rsidRPr="0050382A" w:rsidRDefault="00E11944" w:rsidP="00F606C2">
      <w:pPr>
        <w:rPr>
          <w:sz w:val="22"/>
          <w:szCs w:val="22"/>
        </w:rPr>
      </w:pPr>
      <w:r w:rsidRPr="0050382A">
        <w:rPr>
          <w:b/>
          <w:bCs/>
          <w:sz w:val="22"/>
          <w:szCs w:val="22"/>
        </w:rPr>
        <w:t xml:space="preserve">Artículo 6.- </w:t>
      </w:r>
      <w:r w:rsidR="000960B3" w:rsidRPr="0050382A">
        <w:rPr>
          <w:sz w:val="22"/>
          <w:szCs w:val="22"/>
        </w:rPr>
        <w:t>El pago extemporáneo de créditos fiscales, dará lugar al cobro de recargos a la tasa del 1.85 por ciento mensual sobre el monto total de los mismos, por cada mes que transcurra sin hacerse el pago.</w:t>
      </w:r>
    </w:p>
    <w:p w14:paraId="4FBF8F20" w14:textId="77777777" w:rsidR="00E11944" w:rsidRPr="004F01B5" w:rsidRDefault="00E11944" w:rsidP="00F606C2">
      <w:pPr>
        <w:rPr>
          <w:rFonts w:cs="ArialMT"/>
          <w:color w:val="BFBFBF" w:themeColor="background1" w:themeShade="BF"/>
          <w:sz w:val="16"/>
          <w:szCs w:val="16"/>
        </w:rPr>
      </w:pPr>
    </w:p>
    <w:p w14:paraId="02E28EE1" w14:textId="5CDF1F37" w:rsidR="00E11944" w:rsidRPr="0050382A" w:rsidRDefault="00E11944" w:rsidP="00F606C2">
      <w:pPr>
        <w:rPr>
          <w:b/>
          <w:bCs/>
          <w:sz w:val="22"/>
          <w:szCs w:val="22"/>
        </w:rPr>
      </w:pPr>
      <w:r w:rsidRPr="0050382A">
        <w:rPr>
          <w:b/>
          <w:bCs/>
          <w:sz w:val="22"/>
          <w:szCs w:val="22"/>
        </w:rPr>
        <w:t xml:space="preserve">Artículo 7.- </w:t>
      </w:r>
      <w:r w:rsidR="000960B3" w:rsidRPr="0050382A">
        <w:rPr>
          <w:sz w:val="22"/>
          <w:szCs w:val="22"/>
        </w:rPr>
        <w:t>Cuando se concedan prórrogas para el pago de créditos fiscales conforme a lo dispuesto en el Código Financiero del Estado de México y Municipios, se causarán recargos sobre saldos insolutos a la tasa del 1.3 por ciento mensual.</w:t>
      </w:r>
    </w:p>
    <w:p w14:paraId="488FEF75" w14:textId="77777777" w:rsidR="00E11944" w:rsidRPr="004F01B5" w:rsidRDefault="00E11944" w:rsidP="00F606C2">
      <w:pPr>
        <w:rPr>
          <w:rFonts w:cs="ArialMT"/>
          <w:color w:val="BFBFBF" w:themeColor="background1" w:themeShade="BF"/>
          <w:sz w:val="16"/>
          <w:szCs w:val="16"/>
        </w:rPr>
      </w:pPr>
    </w:p>
    <w:p w14:paraId="54E22B4E" w14:textId="1A86D400" w:rsidR="00E11944" w:rsidRPr="0050382A" w:rsidRDefault="00E11944" w:rsidP="00F606C2">
      <w:pPr>
        <w:rPr>
          <w:sz w:val="22"/>
          <w:szCs w:val="22"/>
        </w:rPr>
      </w:pPr>
      <w:r w:rsidRPr="0050382A">
        <w:rPr>
          <w:b/>
          <w:bCs/>
          <w:sz w:val="22"/>
          <w:szCs w:val="22"/>
        </w:rPr>
        <w:t xml:space="preserve">Artículo 8.- </w:t>
      </w:r>
      <w:r w:rsidR="000960B3" w:rsidRPr="0050382A">
        <w:rPr>
          <w:sz w:val="22"/>
          <w:szCs w:val="22"/>
        </w:rPr>
        <w:t xml:space="preserve">Los montos de los créditos fiscales pagados fuera de los plazos señalados por las leyes fiscales para el </w:t>
      </w:r>
      <w:r w:rsidR="00381741" w:rsidRPr="0050382A">
        <w:rPr>
          <w:sz w:val="22"/>
          <w:szCs w:val="22"/>
        </w:rPr>
        <w:t>E</w:t>
      </w:r>
      <w:r w:rsidR="000960B3" w:rsidRPr="0050382A">
        <w:rPr>
          <w:sz w:val="22"/>
          <w:szCs w:val="22"/>
        </w:rPr>
        <w:t xml:space="preserve">jercicio </w:t>
      </w:r>
      <w:r w:rsidR="00381741" w:rsidRPr="0050382A">
        <w:rPr>
          <w:sz w:val="22"/>
          <w:szCs w:val="22"/>
        </w:rPr>
        <w:t>F</w:t>
      </w:r>
      <w:r w:rsidR="00110A6C" w:rsidRPr="0050382A">
        <w:rPr>
          <w:sz w:val="22"/>
          <w:szCs w:val="22"/>
        </w:rPr>
        <w:t>i</w:t>
      </w:r>
      <w:r w:rsidR="000960B3" w:rsidRPr="0050382A">
        <w:rPr>
          <w:sz w:val="22"/>
          <w:szCs w:val="22"/>
        </w:rPr>
        <w:t>scal 2023, se actualizarán a la tasa del 0.42 por ciento sobre el monto total de los mismos por cada mes que transcurra sin hacerse el pago.</w:t>
      </w:r>
    </w:p>
    <w:p w14:paraId="03A42AFA" w14:textId="77777777" w:rsidR="00E11944" w:rsidRPr="004F01B5" w:rsidRDefault="00E11944" w:rsidP="00F606C2">
      <w:pPr>
        <w:rPr>
          <w:rFonts w:cstheme="majorBidi"/>
          <w:color w:val="BFBFBF" w:themeColor="background1" w:themeShade="BF"/>
          <w:sz w:val="16"/>
          <w:szCs w:val="16"/>
        </w:rPr>
      </w:pPr>
    </w:p>
    <w:p w14:paraId="4C1171EA" w14:textId="77777777" w:rsidR="00E11944" w:rsidRPr="0050382A" w:rsidRDefault="00E11944" w:rsidP="00F606C2">
      <w:pPr>
        <w:rPr>
          <w:rFonts w:cstheme="majorBidi"/>
          <w:sz w:val="22"/>
          <w:szCs w:val="22"/>
        </w:rPr>
      </w:pPr>
      <w:r w:rsidRPr="0050382A">
        <w:rPr>
          <w:rFonts w:cstheme="majorBidi"/>
          <w:sz w:val="22"/>
          <w:szCs w:val="22"/>
        </w:rPr>
        <w:t>El factor de actualización anual a que se refiere el artículo 70 del Código Financiero del Estado de México y Municipios será de 1.060.</w:t>
      </w:r>
    </w:p>
    <w:p w14:paraId="544C0795" w14:textId="77777777" w:rsidR="00E11944" w:rsidRPr="004F01B5" w:rsidRDefault="00E11944" w:rsidP="00F606C2">
      <w:pPr>
        <w:rPr>
          <w:rFonts w:cs="ArialMT"/>
          <w:color w:val="BFBFBF" w:themeColor="background1" w:themeShade="BF"/>
          <w:sz w:val="16"/>
          <w:szCs w:val="16"/>
        </w:rPr>
      </w:pPr>
    </w:p>
    <w:p w14:paraId="03CBB659" w14:textId="661673B6" w:rsidR="00E11944" w:rsidRPr="0050382A" w:rsidRDefault="00E11944" w:rsidP="00F606C2">
      <w:pPr>
        <w:rPr>
          <w:b/>
          <w:bCs/>
          <w:sz w:val="22"/>
          <w:szCs w:val="22"/>
        </w:rPr>
      </w:pPr>
      <w:r w:rsidRPr="0050382A">
        <w:rPr>
          <w:b/>
          <w:bCs/>
          <w:sz w:val="22"/>
          <w:szCs w:val="22"/>
        </w:rPr>
        <w:t xml:space="preserve">Artículo 9.- </w:t>
      </w:r>
      <w:r w:rsidRPr="0050382A">
        <w:rPr>
          <w:sz w:val="22"/>
          <w:szCs w:val="22"/>
        </w:rPr>
        <w:t xml:space="preserve">Se autoriza al Titular del Ejecutivo del Estado para que, por conducto de la Secretaría de Finanzas durante el </w:t>
      </w:r>
      <w:r w:rsidR="00381741" w:rsidRPr="0050382A">
        <w:rPr>
          <w:sz w:val="22"/>
          <w:szCs w:val="22"/>
        </w:rPr>
        <w:t>E</w:t>
      </w:r>
      <w:r w:rsidRPr="0050382A">
        <w:rPr>
          <w:sz w:val="22"/>
          <w:szCs w:val="22"/>
        </w:rPr>
        <w:t xml:space="preserve">jercicio </w:t>
      </w:r>
      <w:r w:rsidR="00381741" w:rsidRPr="0050382A">
        <w:rPr>
          <w:sz w:val="22"/>
          <w:szCs w:val="22"/>
        </w:rPr>
        <w:t>F</w:t>
      </w:r>
      <w:r w:rsidRPr="0050382A">
        <w:rPr>
          <w:sz w:val="22"/>
          <w:szCs w:val="22"/>
        </w:rPr>
        <w:t xml:space="preserve">iscal </w:t>
      </w:r>
      <w:r w:rsidR="000960B3" w:rsidRPr="0050382A">
        <w:rPr>
          <w:sz w:val="22"/>
          <w:szCs w:val="22"/>
        </w:rPr>
        <w:t>2023</w:t>
      </w:r>
      <w:r w:rsidRPr="0050382A">
        <w:rPr>
          <w:sz w:val="22"/>
          <w:szCs w:val="22"/>
        </w:rPr>
        <w:t xml:space="preserve">, otorgue un subsidio de hasta el 100 por ciento de los </w:t>
      </w:r>
      <w:r w:rsidR="00C077DE" w:rsidRPr="0050382A">
        <w:rPr>
          <w:sz w:val="22"/>
          <w:szCs w:val="22"/>
        </w:rPr>
        <w:t>D</w:t>
      </w:r>
      <w:r w:rsidRPr="0050382A">
        <w:rPr>
          <w:sz w:val="22"/>
          <w:szCs w:val="22"/>
        </w:rPr>
        <w:t xml:space="preserve">erechos contemplados en el Capítulo Segundo del Título Tercero del Código Financiero del Estado de México y Municipios, cuando se realicen campañas de regularización de los contribuyentes, conforme a las Reglas de Carácter General que para tal efecto emita </w:t>
      </w:r>
      <w:r w:rsidR="00381741" w:rsidRPr="0050382A">
        <w:rPr>
          <w:sz w:val="22"/>
          <w:szCs w:val="22"/>
        </w:rPr>
        <w:t xml:space="preserve">y publique </w:t>
      </w:r>
      <w:r w:rsidRPr="0050382A">
        <w:rPr>
          <w:sz w:val="22"/>
          <w:szCs w:val="22"/>
        </w:rPr>
        <w:t>la propia Secretaría</w:t>
      </w:r>
      <w:r w:rsidR="00381741" w:rsidRPr="0050382A">
        <w:rPr>
          <w:sz w:val="22"/>
          <w:szCs w:val="22"/>
        </w:rPr>
        <w:t xml:space="preserve"> de Finanzas en el Periódico Oficial “Gaceta del Gobierno”</w:t>
      </w:r>
      <w:r w:rsidRPr="0050382A">
        <w:rPr>
          <w:sz w:val="22"/>
          <w:szCs w:val="22"/>
        </w:rPr>
        <w:t>.</w:t>
      </w:r>
    </w:p>
    <w:p w14:paraId="391F384B" w14:textId="77777777" w:rsidR="00E11944" w:rsidRPr="004F01B5" w:rsidRDefault="00E11944" w:rsidP="00F606C2">
      <w:pPr>
        <w:rPr>
          <w:rFonts w:cs="ArialMT"/>
          <w:color w:val="BFBFBF" w:themeColor="background1" w:themeShade="BF"/>
          <w:sz w:val="16"/>
          <w:szCs w:val="16"/>
        </w:rPr>
      </w:pPr>
    </w:p>
    <w:p w14:paraId="7DBF656A" w14:textId="09583338" w:rsidR="00E11944" w:rsidRPr="0050382A" w:rsidRDefault="00E11944" w:rsidP="00F606C2">
      <w:pPr>
        <w:rPr>
          <w:b/>
          <w:bCs/>
          <w:sz w:val="22"/>
          <w:szCs w:val="22"/>
        </w:rPr>
      </w:pPr>
      <w:r w:rsidRPr="0050382A">
        <w:rPr>
          <w:b/>
          <w:bCs/>
          <w:sz w:val="22"/>
          <w:szCs w:val="22"/>
        </w:rPr>
        <w:t xml:space="preserve">Artículo 10.- </w:t>
      </w:r>
      <w:r w:rsidRPr="0050382A">
        <w:rPr>
          <w:sz w:val="22"/>
          <w:szCs w:val="22"/>
        </w:rPr>
        <w:t>Los contribuyentes podrán realizar en una sola exhibición, en los meses de enero y febrero, el pago correspondiente al monto anual del Impuesto sobre Erogaciones por Remuneraciones al Trabajo Personal que no se hubiere causado aún. Quienes ejerzan esta opción, deberán realizar el respectivo ajuste anual conforme a las Reglas de Carácter General que para tal efecto publique la Secretaría de Finanzas, en el Periódico Oficial “Gaceta del Gobierno”.</w:t>
      </w:r>
    </w:p>
    <w:p w14:paraId="164EE66A" w14:textId="77777777" w:rsidR="00CE1599" w:rsidRPr="009A0196" w:rsidRDefault="00CE1599" w:rsidP="00E11944">
      <w:pPr>
        <w:rPr>
          <w:rFonts w:cs="ArialMT"/>
          <w:sz w:val="18"/>
          <w:szCs w:val="18"/>
        </w:rPr>
      </w:pPr>
    </w:p>
    <w:p w14:paraId="50F4DFF7" w14:textId="1584E2FA" w:rsidR="004D58DF" w:rsidRPr="0050382A" w:rsidRDefault="004D58DF" w:rsidP="00F606C2">
      <w:pPr>
        <w:rPr>
          <w:b/>
          <w:bCs/>
          <w:sz w:val="22"/>
          <w:szCs w:val="22"/>
        </w:rPr>
      </w:pPr>
      <w:r w:rsidRPr="0050382A">
        <w:rPr>
          <w:b/>
          <w:bCs/>
          <w:sz w:val="22"/>
          <w:szCs w:val="22"/>
        </w:rPr>
        <w:t xml:space="preserve">Artículo 11.- </w:t>
      </w:r>
      <w:r w:rsidRPr="0050382A">
        <w:rPr>
          <w:sz w:val="22"/>
          <w:szCs w:val="22"/>
        </w:rPr>
        <w:t>Los contribuyentes obligados al pago del Impuesto sobre Erogaciones por Remuneraciones al Trabajo Personal</w:t>
      </w:r>
      <w:r w:rsidR="00381741" w:rsidRPr="0050382A">
        <w:rPr>
          <w:sz w:val="22"/>
          <w:szCs w:val="22"/>
        </w:rPr>
        <w:t>,</w:t>
      </w:r>
      <w:r w:rsidRPr="0050382A">
        <w:rPr>
          <w:sz w:val="22"/>
          <w:szCs w:val="22"/>
        </w:rPr>
        <w:t xml:space="preserve"> gozarán del subsidio del 100 por ciento </w:t>
      </w:r>
      <w:r w:rsidR="00197EF2" w:rsidRPr="0050382A">
        <w:rPr>
          <w:sz w:val="22"/>
          <w:szCs w:val="22"/>
        </w:rPr>
        <w:t>en</w:t>
      </w:r>
      <w:r w:rsidR="004A7C5F" w:rsidRPr="0050382A">
        <w:rPr>
          <w:sz w:val="22"/>
          <w:szCs w:val="22"/>
        </w:rPr>
        <w:t xml:space="preserve"> </w:t>
      </w:r>
      <w:r w:rsidR="00110A6C" w:rsidRPr="0050382A">
        <w:rPr>
          <w:sz w:val="22"/>
          <w:szCs w:val="22"/>
        </w:rPr>
        <w:t xml:space="preserve">los </w:t>
      </w:r>
      <w:r w:rsidR="00197EF2" w:rsidRPr="0050382A">
        <w:rPr>
          <w:sz w:val="22"/>
          <w:szCs w:val="22"/>
        </w:rPr>
        <w:t>término</w:t>
      </w:r>
      <w:r w:rsidR="009926CB" w:rsidRPr="0050382A">
        <w:rPr>
          <w:sz w:val="22"/>
          <w:szCs w:val="22"/>
        </w:rPr>
        <w:t>s</w:t>
      </w:r>
      <w:r w:rsidRPr="0050382A">
        <w:rPr>
          <w:sz w:val="22"/>
          <w:szCs w:val="22"/>
        </w:rPr>
        <w:t xml:space="preserve"> y </w:t>
      </w:r>
      <w:r w:rsidR="00197EF2" w:rsidRPr="0050382A">
        <w:rPr>
          <w:sz w:val="22"/>
          <w:szCs w:val="22"/>
        </w:rPr>
        <w:t xml:space="preserve">plazos </w:t>
      </w:r>
      <w:r w:rsidRPr="0050382A">
        <w:rPr>
          <w:sz w:val="22"/>
          <w:szCs w:val="22"/>
        </w:rPr>
        <w:t>siguientes:</w:t>
      </w:r>
    </w:p>
    <w:p w14:paraId="5D40F3F7" w14:textId="77777777" w:rsidR="004D58DF" w:rsidRPr="009A0196" w:rsidRDefault="004D58DF" w:rsidP="004D58DF">
      <w:pPr>
        <w:rPr>
          <w:color w:val="BFBFBF" w:themeColor="background1" w:themeShade="BF"/>
          <w:sz w:val="18"/>
          <w:szCs w:val="18"/>
        </w:rPr>
      </w:pPr>
    </w:p>
    <w:p w14:paraId="1FDC3535" w14:textId="77777777" w:rsidR="004D58DF" w:rsidRPr="0050382A" w:rsidRDefault="004D58DF" w:rsidP="009518D1">
      <w:pPr>
        <w:pStyle w:val="Prrafodelista"/>
        <w:numPr>
          <w:ilvl w:val="0"/>
          <w:numId w:val="21"/>
        </w:numPr>
        <w:spacing w:after="0" w:line="240" w:lineRule="auto"/>
        <w:ind w:left="567" w:hanging="283"/>
        <w:rPr>
          <w:sz w:val="22"/>
          <w:szCs w:val="22"/>
        </w:rPr>
      </w:pPr>
      <w:r w:rsidRPr="0050382A">
        <w:rPr>
          <w:sz w:val="22"/>
          <w:szCs w:val="22"/>
        </w:rPr>
        <w:t>Por los 36 meses posteriores a la generación de empleo, contratación, cambio o inicio de operaciones, según sea el caso, a los siguientes contribuyentes:</w:t>
      </w:r>
    </w:p>
    <w:p w14:paraId="5DF1EA00" w14:textId="77777777" w:rsidR="004D58DF" w:rsidRPr="009A0196" w:rsidRDefault="004D58DF" w:rsidP="004D58DF">
      <w:pPr>
        <w:pStyle w:val="Prrafodelista"/>
        <w:ind w:left="360"/>
        <w:rPr>
          <w:sz w:val="18"/>
          <w:szCs w:val="18"/>
        </w:rPr>
      </w:pPr>
    </w:p>
    <w:p w14:paraId="24AAE13C" w14:textId="6DFB1A91" w:rsidR="004D58DF" w:rsidRPr="0050382A" w:rsidRDefault="004D58DF" w:rsidP="006817A4">
      <w:pPr>
        <w:pStyle w:val="Prrafodelista"/>
        <w:numPr>
          <w:ilvl w:val="0"/>
          <w:numId w:val="26"/>
        </w:numPr>
        <w:spacing w:after="100" w:line="240" w:lineRule="auto"/>
        <w:ind w:left="851" w:hanging="284"/>
        <w:contextualSpacing w:val="0"/>
        <w:rPr>
          <w:sz w:val="22"/>
          <w:szCs w:val="22"/>
        </w:rPr>
      </w:pPr>
      <w:r w:rsidRPr="0050382A">
        <w:rPr>
          <w:sz w:val="22"/>
          <w:szCs w:val="22"/>
        </w:rPr>
        <w:t xml:space="preserve">Quienes generen durante el </w:t>
      </w:r>
      <w:r w:rsidR="00381741" w:rsidRPr="0050382A">
        <w:rPr>
          <w:sz w:val="22"/>
          <w:szCs w:val="22"/>
        </w:rPr>
        <w:t>E</w:t>
      </w:r>
      <w:r w:rsidRPr="0050382A">
        <w:rPr>
          <w:sz w:val="22"/>
          <w:szCs w:val="22"/>
        </w:rPr>
        <w:t xml:space="preserve">jercicio </w:t>
      </w:r>
      <w:r w:rsidR="00381741" w:rsidRPr="0050382A">
        <w:rPr>
          <w:sz w:val="22"/>
          <w:szCs w:val="22"/>
        </w:rPr>
        <w:t>F</w:t>
      </w:r>
      <w:r w:rsidRPr="0050382A">
        <w:rPr>
          <w:sz w:val="22"/>
          <w:szCs w:val="22"/>
        </w:rPr>
        <w:t xml:space="preserve">iscal </w:t>
      </w:r>
      <w:r w:rsidR="000960B3" w:rsidRPr="0050382A">
        <w:rPr>
          <w:sz w:val="22"/>
          <w:szCs w:val="22"/>
        </w:rPr>
        <w:t>2023</w:t>
      </w:r>
      <w:r w:rsidRPr="0050382A">
        <w:rPr>
          <w:sz w:val="22"/>
          <w:szCs w:val="22"/>
        </w:rPr>
        <w:t xml:space="preserve"> empleos nuevos en el Estado de México para trabajadores de 60 años de edad o mayores.</w:t>
      </w:r>
    </w:p>
    <w:p w14:paraId="4A8F8F77" w14:textId="57E46C85" w:rsidR="004D58DF" w:rsidRPr="0050382A" w:rsidRDefault="004D58DF" w:rsidP="006817A4">
      <w:pPr>
        <w:pStyle w:val="Prrafodelista"/>
        <w:numPr>
          <w:ilvl w:val="0"/>
          <w:numId w:val="26"/>
        </w:numPr>
        <w:spacing w:after="100" w:line="240" w:lineRule="auto"/>
        <w:ind w:left="851" w:hanging="284"/>
        <w:contextualSpacing w:val="0"/>
        <w:rPr>
          <w:sz w:val="22"/>
          <w:szCs w:val="22"/>
        </w:rPr>
      </w:pPr>
      <w:r w:rsidRPr="0050382A">
        <w:rPr>
          <w:sz w:val="22"/>
          <w:szCs w:val="22"/>
        </w:rPr>
        <w:t xml:space="preserve">Quienes generen empleos para personas que hubieren concluido una carrera terminal, técnica, tecnológica o profesional en los años </w:t>
      </w:r>
      <w:r w:rsidR="000960B3" w:rsidRPr="0050382A">
        <w:rPr>
          <w:sz w:val="22"/>
          <w:szCs w:val="22"/>
        </w:rPr>
        <w:t>2021</w:t>
      </w:r>
      <w:r w:rsidRPr="0050382A">
        <w:rPr>
          <w:sz w:val="22"/>
          <w:szCs w:val="22"/>
        </w:rPr>
        <w:t xml:space="preserve">, </w:t>
      </w:r>
      <w:r w:rsidR="000960B3" w:rsidRPr="0050382A">
        <w:rPr>
          <w:sz w:val="22"/>
          <w:szCs w:val="22"/>
        </w:rPr>
        <w:t>2022</w:t>
      </w:r>
      <w:r w:rsidRPr="0050382A">
        <w:rPr>
          <w:sz w:val="22"/>
          <w:szCs w:val="22"/>
        </w:rPr>
        <w:t xml:space="preserve"> o </w:t>
      </w:r>
      <w:r w:rsidR="000960B3" w:rsidRPr="0050382A">
        <w:rPr>
          <w:sz w:val="22"/>
          <w:szCs w:val="22"/>
        </w:rPr>
        <w:t>2023</w:t>
      </w:r>
      <w:r w:rsidRPr="0050382A">
        <w:rPr>
          <w:sz w:val="22"/>
          <w:szCs w:val="22"/>
        </w:rPr>
        <w:t>.</w:t>
      </w:r>
    </w:p>
    <w:p w14:paraId="007FABD0" w14:textId="2C362588" w:rsidR="004D58DF" w:rsidRPr="0050382A" w:rsidRDefault="004D58DF" w:rsidP="006817A4">
      <w:pPr>
        <w:pStyle w:val="Prrafodelista"/>
        <w:numPr>
          <w:ilvl w:val="0"/>
          <w:numId w:val="26"/>
        </w:numPr>
        <w:spacing w:after="100" w:line="240" w:lineRule="auto"/>
        <w:ind w:left="851" w:hanging="284"/>
        <w:contextualSpacing w:val="0"/>
        <w:rPr>
          <w:sz w:val="22"/>
          <w:szCs w:val="22"/>
        </w:rPr>
      </w:pPr>
      <w:r w:rsidRPr="0050382A">
        <w:rPr>
          <w:sz w:val="22"/>
          <w:szCs w:val="22"/>
        </w:rPr>
        <w:t xml:space="preserve">Empresas que, teniendo fuentes de empleo en cualquier </w:t>
      </w:r>
      <w:r w:rsidR="00DB37B0" w:rsidRPr="0050382A">
        <w:rPr>
          <w:sz w:val="22"/>
          <w:szCs w:val="22"/>
        </w:rPr>
        <w:t>E</w:t>
      </w:r>
      <w:r w:rsidRPr="0050382A">
        <w:rPr>
          <w:sz w:val="22"/>
          <w:szCs w:val="22"/>
        </w:rPr>
        <w:t xml:space="preserve">ntidad </w:t>
      </w:r>
      <w:r w:rsidR="00DB37B0" w:rsidRPr="0050382A">
        <w:rPr>
          <w:sz w:val="22"/>
          <w:szCs w:val="22"/>
        </w:rPr>
        <w:t>F</w:t>
      </w:r>
      <w:r w:rsidRPr="0050382A">
        <w:rPr>
          <w:sz w:val="22"/>
          <w:szCs w:val="22"/>
        </w:rPr>
        <w:t xml:space="preserve">ederativa distinta al Estado de México, las cambien a esta </w:t>
      </w:r>
      <w:r w:rsidR="00197EF2" w:rsidRPr="0050382A">
        <w:rPr>
          <w:sz w:val="22"/>
          <w:szCs w:val="22"/>
        </w:rPr>
        <w:t>E</w:t>
      </w:r>
      <w:r w:rsidRPr="0050382A">
        <w:rPr>
          <w:sz w:val="22"/>
          <w:szCs w:val="22"/>
        </w:rPr>
        <w:t xml:space="preserve">ntidad durante el </w:t>
      </w:r>
      <w:r w:rsidR="00CD690F" w:rsidRPr="0050382A">
        <w:rPr>
          <w:sz w:val="22"/>
          <w:szCs w:val="22"/>
        </w:rPr>
        <w:t>E</w:t>
      </w:r>
      <w:r w:rsidRPr="0050382A">
        <w:rPr>
          <w:sz w:val="22"/>
          <w:szCs w:val="22"/>
        </w:rPr>
        <w:t xml:space="preserve">jercicio </w:t>
      </w:r>
      <w:r w:rsidR="00CD690F" w:rsidRPr="0050382A">
        <w:rPr>
          <w:sz w:val="22"/>
          <w:szCs w:val="22"/>
        </w:rPr>
        <w:t>F</w:t>
      </w:r>
      <w:r w:rsidRPr="0050382A">
        <w:rPr>
          <w:sz w:val="22"/>
          <w:szCs w:val="22"/>
        </w:rPr>
        <w:t xml:space="preserve">iscal </w:t>
      </w:r>
      <w:r w:rsidR="000960B3" w:rsidRPr="0050382A">
        <w:rPr>
          <w:sz w:val="22"/>
          <w:szCs w:val="22"/>
        </w:rPr>
        <w:t>2023</w:t>
      </w:r>
      <w:r w:rsidRPr="0050382A">
        <w:rPr>
          <w:sz w:val="22"/>
          <w:szCs w:val="22"/>
        </w:rPr>
        <w:t>.</w:t>
      </w:r>
    </w:p>
    <w:p w14:paraId="3CEF0D66" w14:textId="3AECBD07" w:rsidR="004D58DF" w:rsidRPr="0050382A" w:rsidRDefault="004D58DF" w:rsidP="009518D1">
      <w:pPr>
        <w:pStyle w:val="Prrafodelista"/>
        <w:numPr>
          <w:ilvl w:val="0"/>
          <w:numId w:val="26"/>
        </w:numPr>
        <w:spacing w:after="0" w:line="240" w:lineRule="auto"/>
        <w:ind w:left="851" w:hanging="284"/>
        <w:rPr>
          <w:sz w:val="22"/>
          <w:szCs w:val="22"/>
        </w:rPr>
      </w:pPr>
      <w:r w:rsidRPr="0050382A">
        <w:rPr>
          <w:sz w:val="22"/>
          <w:szCs w:val="22"/>
        </w:rPr>
        <w:lastRenderedPageBreak/>
        <w:t xml:space="preserve">Contribuyentes que durante el </w:t>
      </w:r>
      <w:r w:rsidR="00381741" w:rsidRPr="0050382A">
        <w:rPr>
          <w:sz w:val="22"/>
          <w:szCs w:val="22"/>
        </w:rPr>
        <w:t>E</w:t>
      </w:r>
      <w:r w:rsidRPr="0050382A">
        <w:rPr>
          <w:sz w:val="22"/>
          <w:szCs w:val="22"/>
        </w:rPr>
        <w:t xml:space="preserve">jercicio </w:t>
      </w:r>
      <w:r w:rsidR="00381741" w:rsidRPr="0050382A">
        <w:rPr>
          <w:sz w:val="22"/>
          <w:szCs w:val="22"/>
        </w:rPr>
        <w:t>F</w:t>
      </w:r>
      <w:r w:rsidRPr="0050382A">
        <w:rPr>
          <w:sz w:val="22"/>
          <w:szCs w:val="22"/>
        </w:rPr>
        <w:t xml:space="preserve">iscal </w:t>
      </w:r>
      <w:r w:rsidR="000960B3" w:rsidRPr="0050382A">
        <w:rPr>
          <w:sz w:val="22"/>
          <w:szCs w:val="22"/>
        </w:rPr>
        <w:t>2023</w:t>
      </w:r>
      <w:r w:rsidRPr="0050382A">
        <w:rPr>
          <w:sz w:val="22"/>
          <w:szCs w:val="22"/>
        </w:rPr>
        <w:t xml:space="preserve"> inicien operaciones con su fuente de empleo y domicilio fiscal en el Estado de México.</w:t>
      </w:r>
    </w:p>
    <w:p w14:paraId="5A84B040" w14:textId="4A3B0921" w:rsidR="004D58DF" w:rsidRPr="0050382A" w:rsidRDefault="004D58DF" w:rsidP="004D58DF">
      <w:pPr>
        <w:rPr>
          <w:sz w:val="22"/>
          <w:szCs w:val="22"/>
        </w:rPr>
      </w:pPr>
    </w:p>
    <w:p w14:paraId="0B99709A" w14:textId="726DF134" w:rsidR="004D58DF" w:rsidRPr="0050382A" w:rsidRDefault="004D58DF" w:rsidP="009518D1">
      <w:pPr>
        <w:pStyle w:val="Prrafodelista"/>
        <w:numPr>
          <w:ilvl w:val="0"/>
          <w:numId w:val="21"/>
        </w:numPr>
        <w:spacing w:after="0" w:line="240" w:lineRule="auto"/>
        <w:ind w:left="567" w:hanging="283"/>
        <w:rPr>
          <w:sz w:val="22"/>
          <w:szCs w:val="22"/>
        </w:rPr>
      </w:pPr>
      <w:r w:rsidRPr="0050382A">
        <w:rPr>
          <w:sz w:val="22"/>
          <w:szCs w:val="22"/>
        </w:rPr>
        <w:t>Por los 24 meses posteriores a la contratación laboral, a los contribuyentes que contraten personas:</w:t>
      </w:r>
    </w:p>
    <w:p w14:paraId="04792E2B" w14:textId="77777777" w:rsidR="003A2909" w:rsidRPr="0050382A" w:rsidRDefault="003A2909" w:rsidP="004D58DF">
      <w:pPr>
        <w:pStyle w:val="Prrafodelista"/>
        <w:ind w:left="360"/>
        <w:rPr>
          <w:sz w:val="22"/>
          <w:szCs w:val="22"/>
        </w:rPr>
      </w:pPr>
    </w:p>
    <w:p w14:paraId="37D272CC" w14:textId="273661B2" w:rsidR="004D58DF" w:rsidRPr="0050382A" w:rsidRDefault="004D58DF" w:rsidP="006817A4">
      <w:pPr>
        <w:pStyle w:val="Prrafodelista"/>
        <w:numPr>
          <w:ilvl w:val="0"/>
          <w:numId w:val="32"/>
        </w:numPr>
        <w:spacing w:after="120" w:line="240" w:lineRule="auto"/>
        <w:ind w:left="851" w:hanging="284"/>
        <w:contextualSpacing w:val="0"/>
        <w:rPr>
          <w:sz w:val="22"/>
          <w:szCs w:val="22"/>
        </w:rPr>
      </w:pPr>
      <w:r w:rsidRPr="0050382A">
        <w:rPr>
          <w:sz w:val="22"/>
          <w:szCs w:val="22"/>
        </w:rPr>
        <w:t>Que acceda</w:t>
      </w:r>
      <w:r w:rsidR="00137F46" w:rsidRPr="0050382A">
        <w:rPr>
          <w:sz w:val="22"/>
          <w:szCs w:val="22"/>
        </w:rPr>
        <w:t>n</w:t>
      </w:r>
      <w:r w:rsidRPr="0050382A">
        <w:rPr>
          <w:sz w:val="22"/>
          <w:szCs w:val="22"/>
        </w:rPr>
        <w:t xml:space="preserve"> por primera vez al mercado laboral.</w:t>
      </w:r>
    </w:p>
    <w:p w14:paraId="1F8AD607" w14:textId="43DABFF2" w:rsidR="004D58DF" w:rsidRPr="0050382A" w:rsidRDefault="004D58DF" w:rsidP="006817A4">
      <w:pPr>
        <w:pStyle w:val="Prrafodelista"/>
        <w:numPr>
          <w:ilvl w:val="0"/>
          <w:numId w:val="32"/>
        </w:numPr>
        <w:spacing w:after="120" w:line="240" w:lineRule="auto"/>
        <w:ind w:left="851" w:hanging="284"/>
        <w:contextualSpacing w:val="0"/>
        <w:rPr>
          <w:sz w:val="22"/>
          <w:szCs w:val="22"/>
        </w:rPr>
      </w:pPr>
      <w:r w:rsidRPr="0050382A">
        <w:rPr>
          <w:sz w:val="22"/>
          <w:szCs w:val="22"/>
        </w:rPr>
        <w:t>Pertenecientes a alguna comunidad de origen indígena.</w:t>
      </w:r>
    </w:p>
    <w:p w14:paraId="2C417CD2" w14:textId="77777777" w:rsidR="004D58DF" w:rsidRPr="0050382A" w:rsidRDefault="004D58DF" w:rsidP="006817A4">
      <w:pPr>
        <w:pStyle w:val="Prrafodelista"/>
        <w:numPr>
          <w:ilvl w:val="0"/>
          <w:numId w:val="32"/>
        </w:numPr>
        <w:spacing w:after="120" w:line="240" w:lineRule="auto"/>
        <w:ind w:left="851" w:hanging="284"/>
        <w:contextualSpacing w:val="0"/>
        <w:rPr>
          <w:sz w:val="22"/>
          <w:szCs w:val="22"/>
        </w:rPr>
      </w:pPr>
      <w:r w:rsidRPr="0050382A">
        <w:rPr>
          <w:sz w:val="22"/>
          <w:szCs w:val="22"/>
        </w:rPr>
        <w:t xml:space="preserve">Liberadas con motivo de la Ley de Amnistía del Estado de México. </w:t>
      </w:r>
    </w:p>
    <w:p w14:paraId="675E598E" w14:textId="77777777" w:rsidR="004D58DF" w:rsidRPr="0050382A" w:rsidRDefault="004D58DF" w:rsidP="004D58DF">
      <w:pPr>
        <w:ind w:left="584"/>
        <w:rPr>
          <w:sz w:val="22"/>
          <w:szCs w:val="22"/>
        </w:rPr>
      </w:pPr>
    </w:p>
    <w:p w14:paraId="55DA1D1D" w14:textId="49370615" w:rsidR="004D58DF" w:rsidRPr="0050382A" w:rsidRDefault="004D58DF" w:rsidP="003A2909">
      <w:pPr>
        <w:pStyle w:val="Prrafodelista"/>
        <w:spacing w:after="0"/>
        <w:ind w:left="567"/>
        <w:rPr>
          <w:sz w:val="22"/>
          <w:szCs w:val="22"/>
        </w:rPr>
      </w:pPr>
      <w:r w:rsidRPr="0050382A">
        <w:rPr>
          <w:sz w:val="22"/>
          <w:szCs w:val="22"/>
        </w:rPr>
        <w:t xml:space="preserve">El subsidio al que refiere el párrafo anterior se otorgará tomando como base la plantilla de trabajadores que tuvieran al 31 de diciembre de </w:t>
      </w:r>
      <w:r w:rsidR="000960B3" w:rsidRPr="0050382A">
        <w:rPr>
          <w:sz w:val="22"/>
          <w:szCs w:val="22"/>
        </w:rPr>
        <w:t>2022</w:t>
      </w:r>
      <w:r w:rsidRPr="0050382A">
        <w:rPr>
          <w:sz w:val="22"/>
          <w:szCs w:val="22"/>
        </w:rPr>
        <w:t xml:space="preserve"> y aplicará únicamente a los empleos generados durante el </w:t>
      </w:r>
      <w:r w:rsidR="00381741" w:rsidRPr="0050382A">
        <w:rPr>
          <w:sz w:val="22"/>
          <w:szCs w:val="22"/>
        </w:rPr>
        <w:t>E</w:t>
      </w:r>
      <w:r w:rsidRPr="0050382A">
        <w:rPr>
          <w:sz w:val="22"/>
          <w:szCs w:val="22"/>
        </w:rPr>
        <w:t xml:space="preserve">jercicio </w:t>
      </w:r>
      <w:r w:rsidR="00381741" w:rsidRPr="0050382A">
        <w:rPr>
          <w:sz w:val="22"/>
          <w:szCs w:val="22"/>
        </w:rPr>
        <w:t>F</w:t>
      </w:r>
      <w:r w:rsidRPr="0050382A">
        <w:rPr>
          <w:sz w:val="22"/>
          <w:szCs w:val="22"/>
        </w:rPr>
        <w:t xml:space="preserve">iscal </w:t>
      </w:r>
      <w:r w:rsidR="000960B3" w:rsidRPr="0050382A">
        <w:rPr>
          <w:sz w:val="22"/>
          <w:szCs w:val="22"/>
        </w:rPr>
        <w:t>2023</w:t>
      </w:r>
      <w:r w:rsidR="00197EF2" w:rsidRPr="0050382A">
        <w:rPr>
          <w:sz w:val="22"/>
          <w:szCs w:val="22"/>
        </w:rPr>
        <w:t>,</w:t>
      </w:r>
      <w:r w:rsidRPr="0050382A">
        <w:rPr>
          <w:sz w:val="22"/>
          <w:szCs w:val="22"/>
        </w:rPr>
        <w:t xml:space="preserve"> por arriba de la plantilla mencionada y que cumplan con alguna de las condiciones previstas.</w:t>
      </w:r>
    </w:p>
    <w:p w14:paraId="2A71BE5D" w14:textId="68A0B001" w:rsidR="004D58DF" w:rsidRPr="0050382A" w:rsidRDefault="004D58DF" w:rsidP="004D58DF">
      <w:pPr>
        <w:rPr>
          <w:sz w:val="22"/>
          <w:szCs w:val="22"/>
        </w:rPr>
      </w:pPr>
    </w:p>
    <w:p w14:paraId="1EE0A3A5" w14:textId="7B7A6D01" w:rsidR="004D58DF" w:rsidRPr="0050382A" w:rsidRDefault="004D58DF" w:rsidP="009518D1">
      <w:pPr>
        <w:pStyle w:val="Prrafodelista"/>
        <w:numPr>
          <w:ilvl w:val="0"/>
          <w:numId w:val="21"/>
        </w:numPr>
        <w:spacing w:after="0" w:line="240" w:lineRule="auto"/>
        <w:ind w:left="567" w:hanging="283"/>
        <w:rPr>
          <w:sz w:val="22"/>
          <w:szCs w:val="22"/>
        </w:rPr>
      </w:pPr>
      <w:r w:rsidRPr="0050382A">
        <w:rPr>
          <w:sz w:val="22"/>
          <w:szCs w:val="22"/>
        </w:rPr>
        <w:t xml:space="preserve">Por los 12 meses posteriores </w:t>
      </w:r>
      <w:r w:rsidR="00381741" w:rsidRPr="0050382A">
        <w:rPr>
          <w:sz w:val="22"/>
          <w:szCs w:val="22"/>
        </w:rPr>
        <w:t>al</w:t>
      </w:r>
      <w:r w:rsidRPr="0050382A">
        <w:rPr>
          <w:sz w:val="22"/>
          <w:szCs w:val="22"/>
        </w:rPr>
        <w:t xml:space="preserve"> incremento, contratación o adición de plazas, según corresponda, a los siguientes contribuyentes:</w:t>
      </w:r>
    </w:p>
    <w:p w14:paraId="2AF2A83D" w14:textId="77777777" w:rsidR="004D58DF" w:rsidRPr="0050382A" w:rsidRDefault="004D58DF" w:rsidP="004D58DF">
      <w:pPr>
        <w:pStyle w:val="Prrafodelista"/>
        <w:ind w:left="360"/>
        <w:rPr>
          <w:sz w:val="22"/>
          <w:szCs w:val="22"/>
        </w:rPr>
      </w:pPr>
    </w:p>
    <w:p w14:paraId="3A2D07F3" w14:textId="023CFC4E" w:rsidR="004D58DF" w:rsidRPr="0050382A" w:rsidRDefault="004D58DF" w:rsidP="009518D1">
      <w:pPr>
        <w:pStyle w:val="Prrafodelista"/>
        <w:numPr>
          <w:ilvl w:val="0"/>
          <w:numId w:val="33"/>
        </w:numPr>
        <w:spacing w:after="0" w:line="240" w:lineRule="auto"/>
        <w:ind w:left="851" w:hanging="284"/>
        <w:rPr>
          <w:sz w:val="22"/>
          <w:szCs w:val="22"/>
        </w:rPr>
      </w:pPr>
      <w:r w:rsidRPr="0050382A">
        <w:rPr>
          <w:sz w:val="22"/>
          <w:szCs w:val="22"/>
        </w:rPr>
        <w:t xml:space="preserve">Quienes durante el </w:t>
      </w:r>
      <w:r w:rsidR="00381741" w:rsidRPr="0050382A">
        <w:rPr>
          <w:sz w:val="22"/>
          <w:szCs w:val="22"/>
        </w:rPr>
        <w:t>E</w:t>
      </w:r>
      <w:r w:rsidRPr="0050382A">
        <w:rPr>
          <w:sz w:val="22"/>
          <w:szCs w:val="22"/>
        </w:rPr>
        <w:t xml:space="preserve">jercicio </w:t>
      </w:r>
      <w:r w:rsidR="00381741" w:rsidRPr="0050382A">
        <w:rPr>
          <w:sz w:val="22"/>
          <w:szCs w:val="22"/>
        </w:rPr>
        <w:t>F</w:t>
      </w:r>
      <w:r w:rsidRPr="0050382A">
        <w:rPr>
          <w:sz w:val="22"/>
          <w:szCs w:val="22"/>
        </w:rPr>
        <w:t xml:space="preserve">iscal </w:t>
      </w:r>
      <w:r w:rsidR="000960B3" w:rsidRPr="0050382A">
        <w:rPr>
          <w:sz w:val="22"/>
          <w:szCs w:val="22"/>
        </w:rPr>
        <w:t>2023</w:t>
      </w:r>
      <w:r w:rsidRPr="0050382A">
        <w:rPr>
          <w:sz w:val="22"/>
          <w:szCs w:val="22"/>
        </w:rPr>
        <w:t xml:space="preserve"> incrementen su plantilla laboral. </w:t>
      </w:r>
    </w:p>
    <w:p w14:paraId="02EC4917" w14:textId="77777777" w:rsidR="004D58DF" w:rsidRPr="0050382A" w:rsidRDefault="004D58DF" w:rsidP="004D58DF">
      <w:pPr>
        <w:pStyle w:val="Prrafodelista"/>
        <w:spacing w:after="0" w:line="240" w:lineRule="auto"/>
        <w:rPr>
          <w:sz w:val="22"/>
          <w:szCs w:val="22"/>
        </w:rPr>
      </w:pPr>
    </w:p>
    <w:p w14:paraId="778CF55F" w14:textId="0F679F2F" w:rsidR="004D58DF" w:rsidRPr="0050382A" w:rsidRDefault="004D58DF" w:rsidP="009518D1">
      <w:pPr>
        <w:ind w:left="851"/>
        <w:rPr>
          <w:sz w:val="22"/>
          <w:szCs w:val="22"/>
        </w:rPr>
      </w:pPr>
      <w:r w:rsidRPr="0050382A">
        <w:rPr>
          <w:sz w:val="22"/>
          <w:szCs w:val="22"/>
        </w:rPr>
        <w:t xml:space="preserve">Para este supuesto, el subsidio considerará el impuesto que se cause respecto de las nuevas plazas, tomando como base la plantilla de trabajadores más alta que se declare durante </w:t>
      </w:r>
      <w:r w:rsidR="00381741" w:rsidRPr="0050382A">
        <w:rPr>
          <w:sz w:val="22"/>
          <w:szCs w:val="22"/>
        </w:rPr>
        <w:t xml:space="preserve">el Ejercicio Fiscal </w:t>
      </w:r>
      <w:r w:rsidR="000960B3" w:rsidRPr="0050382A">
        <w:rPr>
          <w:sz w:val="22"/>
          <w:szCs w:val="22"/>
        </w:rPr>
        <w:t>2022</w:t>
      </w:r>
      <w:r w:rsidRPr="0050382A">
        <w:rPr>
          <w:sz w:val="22"/>
          <w:szCs w:val="22"/>
        </w:rPr>
        <w:t xml:space="preserve"> y aplicará únicamente a los empleos generados durante el </w:t>
      </w:r>
      <w:r w:rsidR="00381741" w:rsidRPr="0050382A">
        <w:rPr>
          <w:sz w:val="22"/>
          <w:szCs w:val="22"/>
        </w:rPr>
        <w:t>E</w:t>
      </w:r>
      <w:r w:rsidRPr="0050382A">
        <w:rPr>
          <w:sz w:val="22"/>
          <w:szCs w:val="22"/>
        </w:rPr>
        <w:t xml:space="preserve">jercicio </w:t>
      </w:r>
      <w:r w:rsidR="00381741" w:rsidRPr="0050382A">
        <w:rPr>
          <w:sz w:val="22"/>
          <w:szCs w:val="22"/>
        </w:rPr>
        <w:t>F</w:t>
      </w:r>
      <w:r w:rsidRPr="0050382A">
        <w:rPr>
          <w:sz w:val="22"/>
          <w:szCs w:val="22"/>
        </w:rPr>
        <w:t xml:space="preserve">iscal </w:t>
      </w:r>
      <w:r w:rsidR="000960B3" w:rsidRPr="0050382A">
        <w:rPr>
          <w:sz w:val="22"/>
          <w:szCs w:val="22"/>
        </w:rPr>
        <w:t>2023</w:t>
      </w:r>
      <w:r w:rsidRPr="0050382A">
        <w:rPr>
          <w:sz w:val="22"/>
          <w:szCs w:val="22"/>
        </w:rPr>
        <w:t>, por arriba de la plantilla mencionada y que cumplan con las condiciones previstas.</w:t>
      </w:r>
    </w:p>
    <w:p w14:paraId="447CEE33" w14:textId="07CAE4EF" w:rsidR="004D58DF" w:rsidRPr="0050382A" w:rsidRDefault="004D58DF" w:rsidP="004D58DF">
      <w:pPr>
        <w:rPr>
          <w:sz w:val="22"/>
          <w:szCs w:val="22"/>
        </w:rPr>
      </w:pPr>
    </w:p>
    <w:p w14:paraId="5A5137F9" w14:textId="03D9838B" w:rsidR="00050F88" w:rsidRPr="0050382A" w:rsidRDefault="000960B3" w:rsidP="009518D1">
      <w:pPr>
        <w:pStyle w:val="Prrafodelista"/>
        <w:numPr>
          <w:ilvl w:val="0"/>
          <w:numId w:val="33"/>
        </w:numPr>
        <w:spacing w:after="0" w:line="240" w:lineRule="auto"/>
        <w:ind w:left="851" w:hanging="284"/>
        <w:rPr>
          <w:sz w:val="22"/>
          <w:szCs w:val="22"/>
        </w:rPr>
      </w:pPr>
      <w:r w:rsidRPr="0050382A">
        <w:rPr>
          <w:sz w:val="22"/>
          <w:szCs w:val="22"/>
        </w:rPr>
        <w:t xml:space="preserve">Quienes durante el </w:t>
      </w:r>
      <w:r w:rsidR="00381741" w:rsidRPr="0050382A">
        <w:rPr>
          <w:sz w:val="22"/>
          <w:szCs w:val="22"/>
        </w:rPr>
        <w:t>E</w:t>
      </w:r>
      <w:r w:rsidRPr="0050382A">
        <w:rPr>
          <w:sz w:val="22"/>
          <w:szCs w:val="22"/>
        </w:rPr>
        <w:t xml:space="preserve">jercicio </w:t>
      </w:r>
      <w:r w:rsidR="00381741" w:rsidRPr="0050382A">
        <w:rPr>
          <w:sz w:val="22"/>
          <w:szCs w:val="22"/>
        </w:rPr>
        <w:t>F</w:t>
      </w:r>
      <w:r w:rsidRPr="0050382A">
        <w:rPr>
          <w:sz w:val="22"/>
          <w:szCs w:val="22"/>
        </w:rPr>
        <w:t xml:space="preserve">iscal 2023 </w:t>
      </w:r>
      <w:r w:rsidR="00050F88" w:rsidRPr="0050382A">
        <w:rPr>
          <w:sz w:val="22"/>
          <w:szCs w:val="22"/>
        </w:rPr>
        <w:t>contraten y ubiquen en plazas de nueva generación a personas que hayan perdido su fuente de empleo formal durante los meses de marzo a diciembre de 2020 y de enero a diciembre de 2021.</w:t>
      </w:r>
    </w:p>
    <w:p w14:paraId="361EE7AB" w14:textId="77777777" w:rsidR="004D58DF" w:rsidRPr="0050382A" w:rsidRDefault="004D58DF" w:rsidP="004D58DF">
      <w:pPr>
        <w:rPr>
          <w:color w:val="BFBFBF" w:themeColor="background1" w:themeShade="BF"/>
          <w:sz w:val="22"/>
          <w:szCs w:val="22"/>
        </w:rPr>
      </w:pPr>
    </w:p>
    <w:p w14:paraId="0DBD6677" w14:textId="65623B0A" w:rsidR="004D58DF" w:rsidRPr="0050382A" w:rsidRDefault="004D58DF" w:rsidP="00224014">
      <w:pPr>
        <w:pStyle w:val="Prrafodelista"/>
        <w:ind w:left="567"/>
        <w:rPr>
          <w:sz w:val="22"/>
          <w:szCs w:val="22"/>
        </w:rPr>
      </w:pPr>
      <w:r w:rsidRPr="0050382A">
        <w:rPr>
          <w:sz w:val="22"/>
          <w:szCs w:val="22"/>
        </w:rPr>
        <w:t xml:space="preserve">En el supuesto de que los empleos generados en </w:t>
      </w:r>
      <w:r w:rsidR="000960B3" w:rsidRPr="0050382A">
        <w:rPr>
          <w:sz w:val="22"/>
          <w:szCs w:val="22"/>
        </w:rPr>
        <w:t>2023</w:t>
      </w:r>
      <w:r w:rsidRPr="0050382A">
        <w:rPr>
          <w:sz w:val="22"/>
          <w:szCs w:val="22"/>
        </w:rPr>
        <w:t xml:space="preserve"> se den por terminados, el subsidio dejará de surtir efectos a partir del mes inmediato siguiente a aquel en que suceda la baja laboral respectiva.</w:t>
      </w:r>
      <w:r w:rsidR="008A0CB9" w:rsidRPr="0050382A">
        <w:rPr>
          <w:sz w:val="22"/>
          <w:szCs w:val="22"/>
        </w:rPr>
        <w:t xml:space="preserve"> </w:t>
      </w:r>
      <w:r w:rsidRPr="0050382A">
        <w:rPr>
          <w:sz w:val="22"/>
          <w:szCs w:val="22"/>
        </w:rPr>
        <w:t xml:space="preserve">Para efecto </w:t>
      </w:r>
      <w:r w:rsidR="008A0CB9" w:rsidRPr="0050382A">
        <w:rPr>
          <w:sz w:val="22"/>
          <w:szCs w:val="22"/>
        </w:rPr>
        <w:t>de este subsidio</w:t>
      </w:r>
      <w:r w:rsidRPr="0050382A">
        <w:rPr>
          <w:sz w:val="22"/>
          <w:szCs w:val="22"/>
        </w:rPr>
        <w:t xml:space="preserve">, se tomará como base la plantilla de trabajadores que tuvieran registrada al 31 de diciembre de </w:t>
      </w:r>
      <w:r w:rsidR="000960B3" w:rsidRPr="0050382A">
        <w:rPr>
          <w:sz w:val="22"/>
          <w:szCs w:val="22"/>
        </w:rPr>
        <w:t>2022</w:t>
      </w:r>
      <w:r w:rsidRPr="0050382A">
        <w:rPr>
          <w:sz w:val="22"/>
          <w:szCs w:val="22"/>
        </w:rPr>
        <w:t>.</w:t>
      </w:r>
    </w:p>
    <w:p w14:paraId="047FC94D" w14:textId="22D8E98B" w:rsidR="000960B3" w:rsidRPr="0050382A" w:rsidRDefault="000960B3" w:rsidP="00D07E96">
      <w:pPr>
        <w:pStyle w:val="Prrafodelista"/>
        <w:rPr>
          <w:sz w:val="22"/>
          <w:szCs w:val="22"/>
        </w:rPr>
      </w:pPr>
    </w:p>
    <w:p w14:paraId="4BF12DC3" w14:textId="00E656D0" w:rsidR="000960B3" w:rsidRPr="0050382A" w:rsidRDefault="00531FFF" w:rsidP="009518D1">
      <w:pPr>
        <w:pStyle w:val="Prrafodelista"/>
        <w:numPr>
          <w:ilvl w:val="0"/>
          <w:numId w:val="21"/>
        </w:numPr>
        <w:spacing w:after="0" w:line="240" w:lineRule="auto"/>
        <w:ind w:left="567" w:hanging="283"/>
        <w:rPr>
          <w:sz w:val="22"/>
          <w:szCs w:val="22"/>
        </w:rPr>
      </w:pPr>
      <w:r w:rsidRPr="0050382A">
        <w:rPr>
          <w:sz w:val="22"/>
          <w:szCs w:val="22"/>
        </w:rPr>
        <w:t>Por los 12 meses posteriores a la manifestación del subsidio en la declaración correspondiente, a las mujeres jefas de familia con hasta 3 empleados.</w:t>
      </w:r>
    </w:p>
    <w:p w14:paraId="201198CF" w14:textId="77777777" w:rsidR="000960B3" w:rsidRPr="0050382A" w:rsidRDefault="000960B3" w:rsidP="00E16FCA">
      <w:pPr>
        <w:rPr>
          <w:color w:val="BFBFBF" w:themeColor="background1" w:themeShade="BF"/>
          <w:sz w:val="22"/>
          <w:szCs w:val="22"/>
        </w:rPr>
      </w:pPr>
    </w:p>
    <w:p w14:paraId="7B22F3A0" w14:textId="7626D7FD" w:rsidR="00E16FCA" w:rsidRPr="0050382A" w:rsidRDefault="00E16FCA" w:rsidP="00F606C2">
      <w:pPr>
        <w:rPr>
          <w:sz w:val="22"/>
          <w:szCs w:val="22"/>
        </w:rPr>
      </w:pPr>
      <w:r w:rsidRPr="0050382A">
        <w:rPr>
          <w:sz w:val="22"/>
          <w:szCs w:val="22"/>
        </w:rPr>
        <w:t>Para acceder a los beneficios que señala el presente artículo, se deberá cumplir con los requisitos</w:t>
      </w:r>
      <w:r w:rsidR="00E6758E" w:rsidRPr="0050382A">
        <w:rPr>
          <w:sz w:val="22"/>
          <w:szCs w:val="22"/>
        </w:rPr>
        <w:t xml:space="preserve"> </w:t>
      </w:r>
      <w:r w:rsidRPr="0050382A">
        <w:rPr>
          <w:sz w:val="22"/>
          <w:szCs w:val="22"/>
        </w:rPr>
        <w:t xml:space="preserve">que </w:t>
      </w:r>
      <w:r w:rsidR="00E6758E" w:rsidRPr="0050382A">
        <w:rPr>
          <w:sz w:val="22"/>
          <w:szCs w:val="22"/>
        </w:rPr>
        <w:t>para t</w:t>
      </w:r>
      <w:r w:rsidRPr="0050382A">
        <w:rPr>
          <w:sz w:val="22"/>
          <w:szCs w:val="22"/>
        </w:rPr>
        <w:t>al efecto publique la Secretaría de Finanzas</w:t>
      </w:r>
      <w:r w:rsidR="00594B86" w:rsidRPr="0050382A">
        <w:rPr>
          <w:sz w:val="22"/>
          <w:szCs w:val="22"/>
        </w:rPr>
        <w:t>,</w:t>
      </w:r>
      <w:r w:rsidRPr="0050382A">
        <w:rPr>
          <w:sz w:val="22"/>
          <w:szCs w:val="22"/>
        </w:rPr>
        <w:t xml:space="preserve"> mediante Reglas de Carácter General, en el Periódico Oficial “Gaceta del Gobierno”.</w:t>
      </w:r>
    </w:p>
    <w:p w14:paraId="2AE85F42" w14:textId="77777777" w:rsidR="00E16FCA" w:rsidRPr="0050382A" w:rsidRDefault="00E16FCA" w:rsidP="00F606C2">
      <w:pPr>
        <w:rPr>
          <w:sz w:val="22"/>
          <w:szCs w:val="22"/>
        </w:rPr>
      </w:pPr>
    </w:p>
    <w:p w14:paraId="5A83CB76" w14:textId="77777777" w:rsidR="00D15CC1" w:rsidRDefault="00D15CC1" w:rsidP="00F606C2">
      <w:pPr>
        <w:rPr>
          <w:b/>
          <w:bCs/>
          <w:sz w:val="22"/>
          <w:szCs w:val="22"/>
        </w:rPr>
      </w:pPr>
    </w:p>
    <w:p w14:paraId="14A9D81F" w14:textId="5BC2C81C" w:rsidR="00E11944" w:rsidRPr="00D15CC1" w:rsidRDefault="00E11944" w:rsidP="00F606C2">
      <w:pPr>
        <w:rPr>
          <w:b/>
          <w:bCs/>
          <w:sz w:val="22"/>
          <w:szCs w:val="22"/>
        </w:rPr>
      </w:pPr>
      <w:r w:rsidRPr="00D15CC1">
        <w:rPr>
          <w:b/>
          <w:bCs/>
          <w:sz w:val="22"/>
          <w:szCs w:val="22"/>
        </w:rPr>
        <w:t xml:space="preserve">Artículo 12.- </w:t>
      </w:r>
      <w:r w:rsidRPr="00D15CC1">
        <w:rPr>
          <w:sz w:val="22"/>
          <w:szCs w:val="22"/>
        </w:rPr>
        <w:t xml:space="preserve">Se otorga a favor de los beneficiarios de los programas promotores de vivienda </w:t>
      </w:r>
      <w:bookmarkStart w:id="3" w:name="_Hlk87290702"/>
      <w:r w:rsidRPr="00D15CC1">
        <w:rPr>
          <w:sz w:val="22"/>
          <w:szCs w:val="22"/>
        </w:rPr>
        <w:t>de interés social, social progresiva y popular</w:t>
      </w:r>
      <w:bookmarkEnd w:id="3"/>
      <w:r w:rsidRPr="00D15CC1">
        <w:rPr>
          <w:sz w:val="22"/>
          <w:szCs w:val="22"/>
        </w:rPr>
        <w:t xml:space="preserve">, incluyendo a las operaciones celebradas mediante cofinanciamiento con entidades financieras o de regularización de la tenencia de la tierra, un subsidio del 100 por ciento durante el </w:t>
      </w:r>
      <w:r w:rsidR="00087468" w:rsidRPr="00D15CC1">
        <w:rPr>
          <w:sz w:val="22"/>
          <w:szCs w:val="22"/>
        </w:rPr>
        <w:t>E</w:t>
      </w:r>
      <w:r w:rsidRPr="00D15CC1">
        <w:rPr>
          <w:sz w:val="22"/>
          <w:szCs w:val="22"/>
        </w:rPr>
        <w:t xml:space="preserve">jercicio </w:t>
      </w:r>
      <w:r w:rsidR="00087468" w:rsidRPr="00D15CC1">
        <w:rPr>
          <w:sz w:val="22"/>
          <w:szCs w:val="22"/>
        </w:rPr>
        <w:t>F</w:t>
      </w:r>
      <w:r w:rsidRPr="00D15CC1">
        <w:rPr>
          <w:sz w:val="22"/>
          <w:szCs w:val="22"/>
        </w:rPr>
        <w:t>iscal</w:t>
      </w:r>
      <w:r w:rsidR="00087468" w:rsidRPr="00D15CC1">
        <w:rPr>
          <w:sz w:val="22"/>
          <w:szCs w:val="22"/>
        </w:rPr>
        <w:t xml:space="preserve"> 2023</w:t>
      </w:r>
      <w:r w:rsidRPr="00D15CC1">
        <w:rPr>
          <w:sz w:val="22"/>
          <w:szCs w:val="22"/>
        </w:rPr>
        <w:t>, en el pago de los derechos por servicios de transmisión y otorgamiento de créditos para la adquisición y construcción de la vivienda social, prestados por el Instituto de la Función Registral del Estado de México.</w:t>
      </w:r>
    </w:p>
    <w:p w14:paraId="52D4D48F" w14:textId="77777777" w:rsidR="00E11944" w:rsidRPr="00D15CC1" w:rsidRDefault="00E11944" w:rsidP="00F606C2">
      <w:pPr>
        <w:rPr>
          <w:rFonts w:cs="ArialMT"/>
          <w:sz w:val="22"/>
          <w:szCs w:val="22"/>
        </w:rPr>
      </w:pPr>
    </w:p>
    <w:p w14:paraId="0F9D4028" w14:textId="06E2A328" w:rsidR="007F0491" w:rsidRPr="00D15CC1" w:rsidRDefault="00E11944" w:rsidP="00F606C2">
      <w:pPr>
        <w:rPr>
          <w:rFonts w:cs="ArialMT"/>
          <w:sz w:val="22"/>
          <w:szCs w:val="22"/>
        </w:rPr>
      </w:pPr>
      <w:r w:rsidRPr="00D15CC1">
        <w:rPr>
          <w:rFonts w:cs="ArialMT"/>
          <w:sz w:val="22"/>
          <w:szCs w:val="22"/>
        </w:rPr>
        <w:t xml:space="preserve">Se autoriza para el </w:t>
      </w:r>
      <w:r w:rsidR="00087468" w:rsidRPr="00D15CC1">
        <w:rPr>
          <w:rFonts w:cs="ArialMT"/>
          <w:sz w:val="22"/>
          <w:szCs w:val="22"/>
        </w:rPr>
        <w:t>E</w:t>
      </w:r>
      <w:r w:rsidRPr="00D15CC1">
        <w:rPr>
          <w:rFonts w:cs="ArialMT"/>
          <w:sz w:val="22"/>
          <w:szCs w:val="22"/>
        </w:rPr>
        <w:t xml:space="preserve">jercicio </w:t>
      </w:r>
      <w:r w:rsidR="00087468" w:rsidRPr="00D15CC1">
        <w:rPr>
          <w:rFonts w:cs="ArialMT"/>
          <w:sz w:val="22"/>
          <w:szCs w:val="22"/>
        </w:rPr>
        <w:t>F</w:t>
      </w:r>
      <w:r w:rsidRPr="00D15CC1">
        <w:rPr>
          <w:rFonts w:cs="ArialMT"/>
          <w:sz w:val="22"/>
          <w:szCs w:val="22"/>
        </w:rPr>
        <w:t xml:space="preserve">iscal </w:t>
      </w:r>
      <w:r w:rsidR="009518D1" w:rsidRPr="00D15CC1">
        <w:rPr>
          <w:rFonts w:cs="ArialMT"/>
          <w:sz w:val="22"/>
          <w:szCs w:val="22"/>
        </w:rPr>
        <w:t>2023</w:t>
      </w:r>
      <w:r w:rsidR="00197EF2" w:rsidRPr="00D15CC1">
        <w:rPr>
          <w:rFonts w:cs="ArialMT"/>
          <w:sz w:val="22"/>
          <w:szCs w:val="22"/>
        </w:rPr>
        <w:t>,</w:t>
      </w:r>
      <w:r w:rsidR="00CE1599" w:rsidRPr="00D15CC1">
        <w:rPr>
          <w:rFonts w:cs="ArialMT"/>
          <w:sz w:val="22"/>
          <w:szCs w:val="22"/>
        </w:rPr>
        <w:t xml:space="preserve"> </w:t>
      </w:r>
      <w:r w:rsidRPr="00D15CC1">
        <w:rPr>
          <w:rFonts w:cs="ArialMT"/>
          <w:sz w:val="22"/>
          <w:szCs w:val="22"/>
        </w:rPr>
        <w:t xml:space="preserve">la publicación sin costo alguno de los edictos en el Periódico Oficial “Gaceta del Gobierno”, en favor de los beneficiarios de los programas promotores de vivienda </w:t>
      </w:r>
      <w:r w:rsidR="0082109E" w:rsidRPr="00D15CC1">
        <w:rPr>
          <w:rFonts w:cs="ArialMT"/>
          <w:sz w:val="22"/>
          <w:szCs w:val="22"/>
        </w:rPr>
        <w:t xml:space="preserve">de interés social, social progresiva y popular, incluyendo los programas de adquisición </w:t>
      </w:r>
      <w:r w:rsidRPr="00D15CC1">
        <w:rPr>
          <w:rFonts w:cs="ArialMT"/>
          <w:sz w:val="22"/>
          <w:szCs w:val="22"/>
        </w:rPr>
        <w:t>o de regularización de la tenencia de la tierra, realizados por Organismos Públicos Estatales en cumplimiento de sus objetivos.</w:t>
      </w:r>
    </w:p>
    <w:p w14:paraId="66D91CDB" w14:textId="77777777" w:rsidR="007F0491" w:rsidRPr="00D15CC1" w:rsidRDefault="007F0491" w:rsidP="00F606C2">
      <w:pPr>
        <w:rPr>
          <w:b/>
          <w:bCs/>
          <w:sz w:val="22"/>
          <w:szCs w:val="22"/>
        </w:rPr>
      </w:pPr>
    </w:p>
    <w:p w14:paraId="68519A59" w14:textId="33981290" w:rsidR="007F0491" w:rsidRPr="00D15CC1" w:rsidRDefault="00E11944" w:rsidP="00F606C2">
      <w:pPr>
        <w:rPr>
          <w:sz w:val="22"/>
          <w:szCs w:val="22"/>
        </w:rPr>
      </w:pPr>
      <w:r w:rsidRPr="00D15CC1">
        <w:rPr>
          <w:b/>
          <w:bCs/>
          <w:sz w:val="22"/>
          <w:szCs w:val="22"/>
        </w:rPr>
        <w:t xml:space="preserve">Artículo 13.- </w:t>
      </w:r>
      <w:r w:rsidRPr="00D15CC1">
        <w:rPr>
          <w:sz w:val="22"/>
          <w:szCs w:val="22"/>
        </w:rPr>
        <w:t xml:space="preserve">Se autoriza al Titular del Ejecutivo del Estado, por conducto del Instituto de la Función Registral del Estado de México para que, durante el </w:t>
      </w:r>
      <w:r w:rsidR="00A27ADC" w:rsidRPr="00D15CC1">
        <w:rPr>
          <w:sz w:val="22"/>
          <w:szCs w:val="22"/>
        </w:rPr>
        <w:t>E</w:t>
      </w:r>
      <w:r w:rsidRPr="00D15CC1">
        <w:rPr>
          <w:sz w:val="22"/>
          <w:szCs w:val="22"/>
        </w:rPr>
        <w:t xml:space="preserve">jercicio </w:t>
      </w:r>
      <w:r w:rsidR="00A27ADC" w:rsidRPr="00D15CC1">
        <w:rPr>
          <w:sz w:val="22"/>
          <w:szCs w:val="22"/>
        </w:rPr>
        <w:t>F</w:t>
      </w:r>
      <w:r w:rsidRPr="00D15CC1">
        <w:rPr>
          <w:sz w:val="22"/>
          <w:szCs w:val="22"/>
        </w:rPr>
        <w:t xml:space="preserve">iscal </w:t>
      </w:r>
      <w:r w:rsidR="009518D1" w:rsidRPr="00D15CC1">
        <w:rPr>
          <w:sz w:val="22"/>
          <w:szCs w:val="22"/>
        </w:rPr>
        <w:t>2023</w:t>
      </w:r>
      <w:r w:rsidRPr="00D15CC1">
        <w:rPr>
          <w:sz w:val="22"/>
          <w:szCs w:val="22"/>
        </w:rPr>
        <w:t xml:space="preserve">, otorgue un subsidio de hasta el 100 por ciento en el pago de los derechos por servicios del Certificado de Libertad o Existencia de Gravámenes y la </w:t>
      </w:r>
      <w:r w:rsidR="00FD1DD3" w:rsidRPr="00D15CC1">
        <w:rPr>
          <w:sz w:val="22"/>
          <w:szCs w:val="22"/>
        </w:rPr>
        <w:t>i</w:t>
      </w:r>
      <w:r w:rsidRPr="00D15CC1">
        <w:rPr>
          <w:sz w:val="22"/>
          <w:szCs w:val="22"/>
        </w:rPr>
        <w:t>nscripción relativa a la propiedad de inmuebles destinados a la apertura de Unidades Económicas de Bajo Impacto, cuya superficie sea menor a los 2,000 metros cuadrados.</w:t>
      </w:r>
    </w:p>
    <w:p w14:paraId="4DF8F012" w14:textId="77777777" w:rsidR="007F0491" w:rsidRPr="00D15CC1" w:rsidRDefault="007F0491" w:rsidP="00F606C2">
      <w:pPr>
        <w:rPr>
          <w:color w:val="BFBFBF" w:themeColor="background1" w:themeShade="BF"/>
          <w:sz w:val="22"/>
          <w:szCs w:val="22"/>
        </w:rPr>
      </w:pPr>
    </w:p>
    <w:p w14:paraId="1F815435" w14:textId="0BCD5ED4" w:rsidR="00E11944" w:rsidRPr="00D15CC1" w:rsidRDefault="00E11944" w:rsidP="00F606C2">
      <w:pPr>
        <w:rPr>
          <w:b/>
          <w:bCs/>
          <w:sz w:val="22"/>
          <w:szCs w:val="22"/>
        </w:rPr>
      </w:pPr>
      <w:r w:rsidRPr="00D15CC1">
        <w:rPr>
          <w:b/>
          <w:bCs/>
          <w:sz w:val="22"/>
          <w:szCs w:val="22"/>
        </w:rPr>
        <w:t xml:space="preserve">Artículo 14.- </w:t>
      </w:r>
      <w:r w:rsidRPr="00D15CC1">
        <w:rPr>
          <w:sz w:val="22"/>
          <w:szCs w:val="22"/>
        </w:rPr>
        <w:t xml:space="preserve">Cuando de conformidad con la Ley Orgánica de la Administración Pública del Estado de México u otras disposiciones, los servicios que presta una </w:t>
      </w:r>
      <w:r w:rsidR="00197EF2" w:rsidRPr="00D15CC1">
        <w:rPr>
          <w:sz w:val="22"/>
          <w:szCs w:val="22"/>
        </w:rPr>
        <w:t>D</w:t>
      </w:r>
      <w:r w:rsidRPr="00D15CC1">
        <w:rPr>
          <w:sz w:val="22"/>
          <w:szCs w:val="22"/>
        </w:rPr>
        <w:t>ependencia de la administración pública estatal o uno de sus Organismos Auxiliares</w:t>
      </w:r>
      <w:r w:rsidR="00A27ADC" w:rsidRPr="00D15CC1">
        <w:rPr>
          <w:sz w:val="22"/>
          <w:szCs w:val="22"/>
        </w:rPr>
        <w:t>,</w:t>
      </w:r>
      <w:r w:rsidRPr="00D15CC1">
        <w:rPr>
          <w:sz w:val="22"/>
          <w:szCs w:val="22"/>
        </w:rPr>
        <w:t xml:space="preserve"> pasen a ser proporcionados por otra </w:t>
      </w:r>
      <w:r w:rsidR="00197EF2" w:rsidRPr="00D15CC1">
        <w:rPr>
          <w:sz w:val="22"/>
          <w:szCs w:val="22"/>
        </w:rPr>
        <w:t>D</w:t>
      </w:r>
      <w:r w:rsidRPr="00D15CC1">
        <w:rPr>
          <w:sz w:val="22"/>
          <w:szCs w:val="22"/>
        </w:rPr>
        <w:t xml:space="preserve">ependencia u </w:t>
      </w:r>
      <w:r w:rsidR="00197EF2" w:rsidRPr="00D15CC1">
        <w:rPr>
          <w:sz w:val="22"/>
          <w:szCs w:val="22"/>
        </w:rPr>
        <w:t>O</w:t>
      </w:r>
      <w:r w:rsidRPr="00D15CC1">
        <w:rPr>
          <w:sz w:val="22"/>
          <w:szCs w:val="22"/>
        </w:rPr>
        <w:t>rganismo</w:t>
      </w:r>
      <w:r w:rsidR="00197EF2" w:rsidRPr="00D15CC1">
        <w:rPr>
          <w:sz w:val="22"/>
          <w:szCs w:val="22"/>
        </w:rPr>
        <w:t xml:space="preserve"> Auxiliar</w:t>
      </w:r>
      <w:r w:rsidRPr="00D15CC1">
        <w:rPr>
          <w:sz w:val="22"/>
          <w:szCs w:val="22"/>
        </w:rPr>
        <w:t xml:space="preserve">, se entenderá que las disposiciones señaladas en esta Ley y en el Código Financiero del Estado de México y Municipios para aquellos, se aplicarán a </w:t>
      </w:r>
      <w:r w:rsidR="00A27ADC" w:rsidRPr="00D15CC1">
        <w:rPr>
          <w:sz w:val="22"/>
          <w:szCs w:val="22"/>
        </w:rPr>
        <w:t>e</w:t>
      </w:r>
      <w:r w:rsidRPr="00D15CC1">
        <w:rPr>
          <w:sz w:val="22"/>
          <w:szCs w:val="22"/>
        </w:rPr>
        <w:t xml:space="preserve">stos, así como cuando cambien de nombre los registros o padrones que conforman el servicio o </w:t>
      </w:r>
      <w:r w:rsidR="00197EF2" w:rsidRPr="00D15CC1">
        <w:rPr>
          <w:sz w:val="22"/>
          <w:szCs w:val="22"/>
        </w:rPr>
        <w:t xml:space="preserve">bien de </w:t>
      </w:r>
      <w:r w:rsidRPr="00D15CC1">
        <w:rPr>
          <w:sz w:val="22"/>
          <w:szCs w:val="22"/>
        </w:rPr>
        <w:t>la Ley que lo establece, se seguirán pagando los derechos correspondientes conforme a los preceptos que los establecen.</w:t>
      </w:r>
    </w:p>
    <w:p w14:paraId="3F99F3C3" w14:textId="77777777" w:rsidR="007F0491" w:rsidRPr="00D15CC1" w:rsidRDefault="007F0491" w:rsidP="00F606C2">
      <w:pPr>
        <w:rPr>
          <w:b/>
          <w:bCs/>
          <w:color w:val="BFBFBF" w:themeColor="background1" w:themeShade="BF"/>
          <w:sz w:val="22"/>
          <w:szCs w:val="22"/>
        </w:rPr>
      </w:pPr>
    </w:p>
    <w:p w14:paraId="0201D3A6" w14:textId="3A04B33A" w:rsidR="009518D1" w:rsidRPr="00D15CC1" w:rsidRDefault="00E11944" w:rsidP="00F606C2">
      <w:pPr>
        <w:rPr>
          <w:rFonts w:cs="ArialMT"/>
          <w:bCs/>
          <w:sz w:val="22"/>
          <w:szCs w:val="22"/>
        </w:rPr>
      </w:pPr>
      <w:r w:rsidRPr="00D15CC1">
        <w:rPr>
          <w:b/>
          <w:bCs/>
          <w:sz w:val="22"/>
          <w:szCs w:val="22"/>
        </w:rPr>
        <w:t xml:space="preserve">Artículo 15.- </w:t>
      </w:r>
      <w:r w:rsidR="001D0A16" w:rsidRPr="00D15CC1">
        <w:rPr>
          <w:sz w:val="22"/>
          <w:szCs w:val="22"/>
        </w:rPr>
        <w:t xml:space="preserve">Se autoriza al Ejecutivo del Estado para que, por conducto de la Secretaría de Finanzas, durante el </w:t>
      </w:r>
      <w:r w:rsidR="00A27ADC" w:rsidRPr="00D15CC1">
        <w:rPr>
          <w:sz w:val="22"/>
          <w:szCs w:val="22"/>
        </w:rPr>
        <w:t>E</w:t>
      </w:r>
      <w:r w:rsidR="001D0A16" w:rsidRPr="00D15CC1">
        <w:rPr>
          <w:sz w:val="22"/>
          <w:szCs w:val="22"/>
        </w:rPr>
        <w:t xml:space="preserve">jercicio </w:t>
      </w:r>
      <w:r w:rsidR="00A27ADC" w:rsidRPr="00D15CC1">
        <w:rPr>
          <w:sz w:val="22"/>
          <w:szCs w:val="22"/>
        </w:rPr>
        <w:t>F</w:t>
      </w:r>
      <w:r w:rsidR="001D0A16" w:rsidRPr="00D15CC1">
        <w:rPr>
          <w:sz w:val="22"/>
          <w:szCs w:val="22"/>
        </w:rPr>
        <w:t>iscal 2023, apruebe o modifique, mediante resoluciones de carácter particular, los precios, cuotas, tarifas y denominaciones de los aprovechamientos a cobrar por las Dependencias</w:t>
      </w:r>
      <w:r w:rsidR="00C149A6" w:rsidRPr="00D15CC1">
        <w:rPr>
          <w:sz w:val="22"/>
          <w:szCs w:val="22"/>
        </w:rPr>
        <w:t>.</w:t>
      </w:r>
    </w:p>
    <w:p w14:paraId="7FA02EB7" w14:textId="3F2D1A24" w:rsidR="00C149A6" w:rsidRPr="00D15CC1" w:rsidRDefault="00C149A6" w:rsidP="00F606C2">
      <w:pPr>
        <w:rPr>
          <w:sz w:val="22"/>
          <w:szCs w:val="22"/>
        </w:rPr>
      </w:pPr>
    </w:p>
    <w:p w14:paraId="4598CFCC" w14:textId="16ADF5CC" w:rsidR="009B714E" w:rsidRPr="0050382A" w:rsidRDefault="00AD6708" w:rsidP="00F606C2">
      <w:pPr>
        <w:rPr>
          <w:sz w:val="22"/>
          <w:szCs w:val="22"/>
        </w:rPr>
      </w:pPr>
      <w:r w:rsidRPr="00D15CC1">
        <w:rPr>
          <w:sz w:val="22"/>
          <w:szCs w:val="22"/>
        </w:rPr>
        <w:t xml:space="preserve">Para lo dispuesto en el párrafo anterior, las dependencias estarán obligadas a someter para su aprobación, los montos y denominaciones a cobrar por concepto de </w:t>
      </w:r>
      <w:r w:rsidR="00DF7FD7" w:rsidRPr="00D15CC1">
        <w:rPr>
          <w:sz w:val="22"/>
          <w:szCs w:val="22"/>
        </w:rPr>
        <w:t>A</w:t>
      </w:r>
      <w:r w:rsidRPr="00D15CC1">
        <w:rPr>
          <w:sz w:val="22"/>
          <w:szCs w:val="22"/>
        </w:rPr>
        <w:t>provechamientos.</w:t>
      </w:r>
    </w:p>
    <w:p w14:paraId="6872A82D" w14:textId="77777777" w:rsidR="00AD6708" w:rsidRPr="0031347F" w:rsidRDefault="00AD6708" w:rsidP="00F606C2">
      <w:pPr>
        <w:rPr>
          <w:sz w:val="12"/>
          <w:szCs w:val="12"/>
        </w:rPr>
      </w:pPr>
    </w:p>
    <w:p w14:paraId="4050B410" w14:textId="3D069075" w:rsidR="00C149A6" w:rsidRPr="00D15CC1" w:rsidRDefault="001D0A16" w:rsidP="00F606C2">
      <w:pPr>
        <w:rPr>
          <w:sz w:val="22"/>
          <w:szCs w:val="22"/>
        </w:rPr>
      </w:pPr>
      <w:r w:rsidRPr="0050382A">
        <w:rPr>
          <w:sz w:val="22"/>
          <w:szCs w:val="22"/>
        </w:rPr>
        <w:t xml:space="preserve">Con respecto a las cuotas, tarifas y denominaciones de los </w:t>
      </w:r>
      <w:r w:rsidR="00A27ADC" w:rsidRPr="0050382A">
        <w:rPr>
          <w:sz w:val="22"/>
          <w:szCs w:val="22"/>
        </w:rPr>
        <w:t>A</w:t>
      </w:r>
      <w:r w:rsidRPr="0050382A">
        <w:rPr>
          <w:sz w:val="22"/>
          <w:szCs w:val="22"/>
        </w:rPr>
        <w:t xml:space="preserve">provechamientos vigentes al 31 de diciembre de 2022, las Dependencias podrán mantener su cobro durante el periodo de enero a marzo de 2023, hasta en tanto sean aprobados los términos </w:t>
      </w:r>
      <w:r w:rsidRPr="00D15CC1">
        <w:rPr>
          <w:sz w:val="22"/>
          <w:szCs w:val="22"/>
        </w:rPr>
        <w:lastRenderedPageBreak/>
        <w:t xml:space="preserve">modificados para el </w:t>
      </w:r>
      <w:r w:rsidR="00A27ADC" w:rsidRPr="00D15CC1">
        <w:rPr>
          <w:sz w:val="22"/>
          <w:szCs w:val="22"/>
        </w:rPr>
        <w:t>E</w:t>
      </w:r>
      <w:r w:rsidRPr="00D15CC1">
        <w:rPr>
          <w:sz w:val="22"/>
          <w:szCs w:val="22"/>
        </w:rPr>
        <w:t xml:space="preserve">jercicio </w:t>
      </w:r>
      <w:r w:rsidR="00A27ADC" w:rsidRPr="00D15CC1">
        <w:rPr>
          <w:sz w:val="22"/>
          <w:szCs w:val="22"/>
        </w:rPr>
        <w:t>F</w:t>
      </w:r>
      <w:r w:rsidRPr="00D15CC1">
        <w:rPr>
          <w:sz w:val="22"/>
          <w:szCs w:val="22"/>
        </w:rPr>
        <w:t xml:space="preserve">iscal 2023. Asimismo, aquellas Dependencias que, durante el periodo antes referido, hayan solicitado la modificación de los </w:t>
      </w:r>
      <w:r w:rsidR="00A27ADC" w:rsidRPr="00D15CC1">
        <w:rPr>
          <w:sz w:val="22"/>
          <w:szCs w:val="22"/>
        </w:rPr>
        <w:t>A</w:t>
      </w:r>
      <w:r w:rsidRPr="00D15CC1">
        <w:rPr>
          <w:sz w:val="22"/>
          <w:szCs w:val="22"/>
        </w:rPr>
        <w:t>provechamientos vigentes al 31 de diciembre de 2022, podrán mantener su cobro hasta en tanto sea emitida la aprobación correspondiente.</w:t>
      </w:r>
    </w:p>
    <w:p w14:paraId="53F4410A" w14:textId="77777777" w:rsidR="001D0A16" w:rsidRPr="00D15CC1" w:rsidRDefault="001D0A16" w:rsidP="00F606C2">
      <w:pPr>
        <w:rPr>
          <w:sz w:val="18"/>
          <w:szCs w:val="18"/>
        </w:rPr>
      </w:pPr>
    </w:p>
    <w:p w14:paraId="4A08D9B2" w14:textId="21B24EC7" w:rsidR="00C149A6" w:rsidRPr="00D15CC1" w:rsidRDefault="001D0A16" w:rsidP="00F606C2">
      <w:pPr>
        <w:rPr>
          <w:sz w:val="22"/>
          <w:szCs w:val="22"/>
        </w:rPr>
      </w:pPr>
      <w:r w:rsidRPr="00D15CC1">
        <w:rPr>
          <w:sz w:val="22"/>
          <w:szCs w:val="22"/>
        </w:rPr>
        <w:t xml:space="preserve">Los </w:t>
      </w:r>
      <w:r w:rsidR="00A27ADC" w:rsidRPr="00D15CC1">
        <w:rPr>
          <w:sz w:val="22"/>
          <w:szCs w:val="22"/>
        </w:rPr>
        <w:t>A</w:t>
      </w:r>
      <w:r w:rsidRPr="00D15CC1">
        <w:rPr>
          <w:sz w:val="22"/>
          <w:szCs w:val="22"/>
        </w:rPr>
        <w:t>provechamientos que no sean sometidos a la aprobación de la Secretaría de Finanzas</w:t>
      </w:r>
      <w:r w:rsidR="00A27ADC" w:rsidRPr="00D15CC1">
        <w:rPr>
          <w:sz w:val="22"/>
          <w:szCs w:val="22"/>
        </w:rPr>
        <w:t>,</w:t>
      </w:r>
      <w:r w:rsidRPr="00D15CC1">
        <w:rPr>
          <w:sz w:val="22"/>
          <w:szCs w:val="22"/>
        </w:rPr>
        <w:t xml:space="preserve"> no podrán ser cobrados por la Dependencia de que se trate a partir del 1º de abril de dicho año y hasta la fecha en que sean sometidos y aprobados mediante las resoluciones antes referidas. Asimismo, los </w:t>
      </w:r>
      <w:r w:rsidR="00A27ADC" w:rsidRPr="00D15CC1">
        <w:rPr>
          <w:sz w:val="22"/>
          <w:szCs w:val="22"/>
        </w:rPr>
        <w:t>A</w:t>
      </w:r>
      <w:r w:rsidRPr="00D15CC1">
        <w:rPr>
          <w:sz w:val="22"/>
          <w:szCs w:val="22"/>
        </w:rPr>
        <w:t>provechamientos cuya aprobación haya sido negada por parte de la Secretaría de Finanzas, no podrán ser cobrados por la Dependencia de que se trate, a partir de la fecha en que surta efectos la notificación de la resolución respectiva.</w:t>
      </w:r>
    </w:p>
    <w:p w14:paraId="3746BD94" w14:textId="77777777" w:rsidR="001D0A16" w:rsidRPr="00D15CC1" w:rsidRDefault="001D0A16" w:rsidP="00F606C2">
      <w:pPr>
        <w:rPr>
          <w:sz w:val="22"/>
          <w:szCs w:val="22"/>
        </w:rPr>
      </w:pPr>
    </w:p>
    <w:p w14:paraId="31AA6846" w14:textId="12AC42FA" w:rsidR="00C149A6" w:rsidRPr="00D15CC1" w:rsidRDefault="001D0A16" w:rsidP="00F606C2">
      <w:pPr>
        <w:rPr>
          <w:sz w:val="22"/>
          <w:szCs w:val="22"/>
        </w:rPr>
      </w:pPr>
      <w:r w:rsidRPr="00D15CC1">
        <w:rPr>
          <w:sz w:val="22"/>
          <w:szCs w:val="22"/>
        </w:rPr>
        <w:t xml:space="preserve">Los ingresos por </w:t>
      </w:r>
      <w:r w:rsidR="00A27ADC" w:rsidRPr="00D15CC1">
        <w:rPr>
          <w:sz w:val="22"/>
          <w:szCs w:val="22"/>
        </w:rPr>
        <w:t>A</w:t>
      </w:r>
      <w:r w:rsidRPr="00D15CC1">
        <w:rPr>
          <w:sz w:val="22"/>
          <w:szCs w:val="22"/>
        </w:rPr>
        <w:t xml:space="preserve">provechamientos se podrán destinar, previa aprobación de la Secretaría de Finanzas, a cubrir erogaciones adicionales del Ente Público generador de dichos ingresos; siempre y cuando durante el </w:t>
      </w:r>
      <w:r w:rsidR="00A27ADC" w:rsidRPr="00D15CC1">
        <w:rPr>
          <w:sz w:val="22"/>
          <w:szCs w:val="22"/>
        </w:rPr>
        <w:t>E</w:t>
      </w:r>
      <w:r w:rsidRPr="00D15CC1">
        <w:rPr>
          <w:sz w:val="22"/>
          <w:szCs w:val="22"/>
        </w:rPr>
        <w:t xml:space="preserve">jercicio </w:t>
      </w:r>
      <w:r w:rsidR="00A27ADC" w:rsidRPr="00D15CC1">
        <w:rPr>
          <w:sz w:val="22"/>
          <w:szCs w:val="22"/>
        </w:rPr>
        <w:t>F</w:t>
      </w:r>
      <w:r w:rsidRPr="00D15CC1">
        <w:rPr>
          <w:sz w:val="22"/>
          <w:szCs w:val="22"/>
        </w:rPr>
        <w:t>iscal 2023 se haya recaudado un monto mayor al aprobado en esta Ley y se dé cumplimiento a lo estipulado en las fracciones I y II del artículo 14 de la Ley de Disciplina Financiera de las Entidades Federativas y los Municipios y las fracciones I y II del segundo párrafo del artículo 317 Bis A del Código Financiero del Estado de México y Municipios.</w:t>
      </w:r>
    </w:p>
    <w:p w14:paraId="312F3499" w14:textId="77777777" w:rsidR="001D0A16" w:rsidRPr="00D15CC1" w:rsidRDefault="001D0A16" w:rsidP="00F606C2">
      <w:pPr>
        <w:rPr>
          <w:sz w:val="22"/>
          <w:szCs w:val="22"/>
        </w:rPr>
      </w:pPr>
    </w:p>
    <w:p w14:paraId="6C90C9A0" w14:textId="4ED48040" w:rsidR="00C149A6" w:rsidRPr="00D15CC1" w:rsidRDefault="001D0A16" w:rsidP="00F606C2">
      <w:pPr>
        <w:rPr>
          <w:sz w:val="22"/>
          <w:szCs w:val="22"/>
        </w:rPr>
      </w:pPr>
      <w:r w:rsidRPr="00D15CC1">
        <w:rPr>
          <w:sz w:val="22"/>
          <w:szCs w:val="22"/>
        </w:rPr>
        <w:t xml:space="preserve">Los ingresos por </w:t>
      </w:r>
      <w:r w:rsidR="00A27ADC" w:rsidRPr="00D15CC1">
        <w:rPr>
          <w:sz w:val="22"/>
          <w:szCs w:val="22"/>
        </w:rPr>
        <w:t>A</w:t>
      </w:r>
      <w:r w:rsidRPr="00D15CC1">
        <w:rPr>
          <w:sz w:val="22"/>
          <w:szCs w:val="22"/>
        </w:rPr>
        <w:t>provechamientos se deberán enterar a la Caja General de Gobierno de la Subsecretaría de Tesorería de la Secretaría de Finanzas, a más tardar el décimo día del mes siguiente a aquel en que se obtuvo el ingreso, excepto en aquellos casos que se señalen en el Código Financiero del Estado de México y Municipios.</w:t>
      </w:r>
    </w:p>
    <w:p w14:paraId="4FC557FC" w14:textId="77777777" w:rsidR="001D0A16" w:rsidRPr="00D15CC1" w:rsidRDefault="001D0A16" w:rsidP="00F606C2">
      <w:pPr>
        <w:rPr>
          <w:sz w:val="22"/>
          <w:szCs w:val="22"/>
        </w:rPr>
      </w:pPr>
    </w:p>
    <w:p w14:paraId="0993DD3D" w14:textId="01D82DE3" w:rsidR="00C149A6" w:rsidRPr="00D15CC1" w:rsidRDefault="001D0A16" w:rsidP="00F606C2">
      <w:pPr>
        <w:rPr>
          <w:sz w:val="22"/>
          <w:szCs w:val="22"/>
        </w:rPr>
      </w:pPr>
      <w:r w:rsidRPr="00D15CC1">
        <w:rPr>
          <w:sz w:val="22"/>
          <w:szCs w:val="22"/>
        </w:rPr>
        <w:t xml:space="preserve">A las dependencias que omitan, total o parcialmente, el cobro o entero de los </w:t>
      </w:r>
      <w:r w:rsidR="00A27ADC" w:rsidRPr="00D15CC1">
        <w:rPr>
          <w:sz w:val="22"/>
          <w:szCs w:val="22"/>
        </w:rPr>
        <w:t>A</w:t>
      </w:r>
      <w:r w:rsidRPr="00D15CC1">
        <w:rPr>
          <w:sz w:val="22"/>
          <w:szCs w:val="22"/>
        </w:rPr>
        <w:t xml:space="preserve">provechamientos establecidos en los términos de esta Ley, se les disminuirá del presupuesto que se les haya asignado para el </w:t>
      </w:r>
      <w:r w:rsidR="00A27ADC" w:rsidRPr="00D15CC1">
        <w:rPr>
          <w:sz w:val="22"/>
          <w:szCs w:val="22"/>
        </w:rPr>
        <w:t>E</w:t>
      </w:r>
      <w:r w:rsidRPr="00D15CC1">
        <w:rPr>
          <w:sz w:val="22"/>
          <w:szCs w:val="22"/>
        </w:rPr>
        <w:t xml:space="preserve">jercicio </w:t>
      </w:r>
      <w:r w:rsidR="00A27ADC" w:rsidRPr="00D15CC1">
        <w:rPr>
          <w:sz w:val="22"/>
          <w:szCs w:val="22"/>
        </w:rPr>
        <w:t>F</w:t>
      </w:r>
      <w:r w:rsidRPr="00D15CC1">
        <w:rPr>
          <w:sz w:val="22"/>
          <w:szCs w:val="22"/>
        </w:rPr>
        <w:t>iscal</w:t>
      </w:r>
      <w:r w:rsidR="00A27ADC" w:rsidRPr="00D15CC1">
        <w:rPr>
          <w:sz w:val="22"/>
          <w:szCs w:val="22"/>
        </w:rPr>
        <w:t xml:space="preserve"> 2023</w:t>
      </w:r>
      <w:r w:rsidRPr="00D15CC1">
        <w:rPr>
          <w:sz w:val="22"/>
          <w:szCs w:val="22"/>
        </w:rPr>
        <w:t>, una cantidad equivalente al valor de la omisión.</w:t>
      </w:r>
    </w:p>
    <w:p w14:paraId="4E3215B2" w14:textId="430ED593" w:rsidR="00C149A6" w:rsidRPr="00D15CC1" w:rsidRDefault="00C149A6" w:rsidP="00F606C2">
      <w:pPr>
        <w:rPr>
          <w:sz w:val="22"/>
          <w:szCs w:val="22"/>
        </w:rPr>
      </w:pPr>
    </w:p>
    <w:p w14:paraId="15AF53CC" w14:textId="17896E9E" w:rsidR="00C149A6" w:rsidRPr="00D15CC1" w:rsidRDefault="001D0A16" w:rsidP="00F606C2">
      <w:pPr>
        <w:rPr>
          <w:sz w:val="22"/>
          <w:szCs w:val="22"/>
        </w:rPr>
      </w:pPr>
      <w:r w:rsidRPr="00D15CC1">
        <w:rPr>
          <w:sz w:val="22"/>
          <w:szCs w:val="22"/>
        </w:rPr>
        <w:t>Para efecto de lo dispuesto en este artículo, la Secretaría de Finanzas publicará en el Periódico Oficial “Gaceta del Gobierno”, las Reglas de Aplicación</w:t>
      </w:r>
      <w:r w:rsidR="00A27ADC" w:rsidRPr="00D15CC1">
        <w:rPr>
          <w:sz w:val="22"/>
          <w:szCs w:val="22"/>
        </w:rPr>
        <w:t xml:space="preserve"> </w:t>
      </w:r>
      <w:r w:rsidRPr="00D15CC1">
        <w:rPr>
          <w:sz w:val="22"/>
          <w:szCs w:val="22"/>
        </w:rPr>
        <w:t xml:space="preserve">donde se establezcan los requisitos y obligaciones relativos a la aprobación de los </w:t>
      </w:r>
      <w:r w:rsidR="00A27ADC" w:rsidRPr="00D15CC1">
        <w:rPr>
          <w:sz w:val="22"/>
          <w:szCs w:val="22"/>
        </w:rPr>
        <w:t>A</w:t>
      </w:r>
      <w:r w:rsidRPr="00D15CC1">
        <w:rPr>
          <w:sz w:val="22"/>
          <w:szCs w:val="22"/>
        </w:rPr>
        <w:t xml:space="preserve">provechamientos a cobrar en el </w:t>
      </w:r>
      <w:r w:rsidR="00A27ADC" w:rsidRPr="00D15CC1">
        <w:rPr>
          <w:sz w:val="22"/>
          <w:szCs w:val="22"/>
        </w:rPr>
        <w:t>E</w:t>
      </w:r>
      <w:r w:rsidRPr="00D15CC1">
        <w:rPr>
          <w:sz w:val="22"/>
          <w:szCs w:val="22"/>
        </w:rPr>
        <w:t xml:space="preserve">jercicio </w:t>
      </w:r>
      <w:r w:rsidR="00A27ADC" w:rsidRPr="00D15CC1">
        <w:rPr>
          <w:sz w:val="22"/>
          <w:szCs w:val="22"/>
        </w:rPr>
        <w:t>F</w:t>
      </w:r>
      <w:r w:rsidRPr="00D15CC1">
        <w:rPr>
          <w:sz w:val="22"/>
          <w:szCs w:val="22"/>
        </w:rPr>
        <w:t>iscal 2023, así como aquellos aprovechamientos que no requieran de autorización para su cobro.</w:t>
      </w:r>
    </w:p>
    <w:p w14:paraId="62B7D76F" w14:textId="77777777" w:rsidR="001D0A16" w:rsidRPr="00D15CC1" w:rsidRDefault="001D0A16" w:rsidP="00F606C2">
      <w:pPr>
        <w:rPr>
          <w:sz w:val="22"/>
          <w:szCs w:val="22"/>
        </w:rPr>
      </w:pPr>
    </w:p>
    <w:p w14:paraId="323E7269" w14:textId="180BC902" w:rsidR="00C149A6" w:rsidRPr="00D15CC1" w:rsidRDefault="00C149A6" w:rsidP="00F606C2">
      <w:pPr>
        <w:rPr>
          <w:sz w:val="22"/>
          <w:szCs w:val="22"/>
        </w:rPr>
      </w:pPr>
      <w:r w:rsidRPr="00D15CC1">
        <w:rPr>
          <w:b/>
          <w:bCs/>
          <w:sz w:val="22"/>
          <w:szCs w:val="22"/>
        </w:rPr>
        <w:t xml:space="preserve">Artículo 16.- </w:t>
      </w:r>
      <w:r w:rsidR="001D0A16" w:rsidRPr="00D15CC1">
        <w:rPr>
          <w:sz w:val="22"/>
          <w:szCs w:val="22"/>
        </w:rPr>
        <w:t xml:space="preserve">Se autoriza al Ejecutivo del Estado para que, por conducto de la Secretaría de Finanzas, durante el </w:t>
      </w:r>
      <w:r w:rsidR="00A27ADC" w:rsidRPr="00D15CC1">
        <w:rPr>
          <w:sz w:val="22"/>
          <w:szCs w:val="22"/>
        </w:rPr>
        <w:t>E</w:t>
      </w:r>
      <w:r w:rsidR="001D0A16" w:rsidRPr="00D15CC1">
        <w:rPr>
          <w:sz w:val="22"/>
          <w:szCs w:val="22"/>
        </w:rPr>
        <w:t xml:space="preserve">jercicio </w:t>
      </w:r>
      <w:r w:rsidR="00A27ADC" w:rsidRPr="00D15CC1">
        <w:rPr>
          <w:sz w:val="22"/>
          <w:szCs w:val="22"/>
        </w:rPr>
        <w:t>F</w:t>
      </w:r>
      <w:r w:rsidR="001D0A16" w:rsidRPr="00D15CC1">
        <w:rPr>
          <w:sz w:val="22"/>
          <w:szCs w:val="22"/>
        </w:rPr>
        <w:t xml:space="preserve">iscal 2023, apruebe o modifique, mediante resoluciones de carácter particular, los precios, cuotas, tarifas y denominaciones de los </w:t>
      </w:r>
      <w:r w:rsidR="00A27ADC" w:rsidRPr="00D15CC1">
        <w:rPr>
          <w:sz w:val="22"/>
          <w:szCs w:val="22"/>
        </w:rPr>
        <w:t>P</w:t>
      </w:r>
      <w:r w:rsidR="001D0A16" w:rsidRPr="00D15CC1">
        <w:rPr>
          <w:sz w:val="22"/>
          <w:szCs w:val="22"/>
        </w:rPr>
        <w:t xml:space="preserve">roductos a cobrar por las </w:t>
      </w:r>
      <w:r w:rsidR="00A27ADC" w:rsidRPr="00D15CC1">
        <w:rPr>
          <w:sz w:val="22"/>
          <w:szCs w:val="22"/>
        </w:rPr>
        <w:t>d</w:t>
      </w:r>
      <w:r w:rsidR="001D0A16" w:rsidRPr="00D15CC1">
        <w:rPr>
          <w:sz w:val="22"/>
          <w:szCs w:val="22"/>
        </w:rPr>
        <w:t>ependencias.</w:t>
      </w:r>
    </w:p>
    <w:p w14:paraId="2E4A7126" w14:textId="77777777" w:rsidR="00C149A6" w:rsidRPr="00D15CC1" w:rsidRDefault="00C149A6" w:rsidP="00F606C2">
      <w:pPr>
        <w:rPr>
          <w:sz w:val="22"/>
          <w:szCs w:val="22"/>
        </w:rPr>
      </w:pPr>
    </w:p>
    <w:p w14:paraId="5BE3EB2F" w14:textId="12C47A14" w:rsidR="00AD6708" w:rsidRPr="00D15CC1" w:rsidRDefault="00AD6708" w:rsidP="00F606C2">
      <w:pPr>
        <w:rPr>
          <w:sz w:val="22"/>
          <w:szCs w:val="22"/>
        </w:rPr>
      </w:pPr>
      <w:r w:rsidRPr="00D15CC1">
        <w:rPr>
          <w:sz w:val="22"/>
          <w:szCs w:val="22"/>
        </w:rPr>
        <w:t xml:space="preserve">Para lo dispuesto en el párrafo anterior, las dependencias estarán obligadas a someter para su aprobación, los montos y denominaciones a cobrar por concepto de </w:t>
      </w:r>
      <w:r w:rsidR="00A27ADC" w:rsidRPr="00D15CC1">
        <w:rPr>
          <w:sz w:val="22"/>
          <w:szCs w:val="22"/>
        </w:rPr>
        <w:t>P</w:t>
      </w:r>
      <w:r w:rsidRPr="00D15CC1">
        <w:rPr>
          <w:sz w:val="22"/>
          <w:szCs w:val="22"/>
        </w:rPr>
        <w:t>roductos.</w:t>
      </w:r>
    </w:p>
    <w:p w14:paraId="688AD016" w14:textId="77777777" w:rsidR="001D0A16" w:rsidRPr="0031347F" w:rsidRDefault="001D0A16" w:rsidP="00F606C2">
      <w:pPr>
        <w:rPr>
          <w:sz w:val="22"/>
          <w:szCs w:val="22"/>
        </w:rPr>
      </w:pPr>
    </w:p>
    <w:p w14:paraId="5874F158" w14:textId="7D9F8A4F" w:rsidR="00C149A6" w:rsidRPr="0031347F" w:rsidRDefault="001D0A16" w:rsidP="00F606C2">
      <w:pPr>
        <w:rPr>
          <w:sz w:val="22"/>
          <w:szCs w:val="22"/>
        </w:rPr>
      </w:pPr>
      <w:r w:rsidRPr="0031347F">
        <w:rPr>
          <w:sz w:val="22"/>
          <w:szCs w:val="22"/>
        </w:rPr>
        <w:t xml:space="preserve">Con respecto a las cuotas, tarifas y denominaciones de los </w:t>
      </w:r>
      <w:r w:rsidR="00A27ADC" w:rsidRPr="0031347F">
        <w:rPr>
          <w:sz w:val="22"/>
          <w:szCs w:val="22"/>
        </w:rPr>
        <w:t>P</w:t>
      </w:r>
      <w:r w:rsidRPr="0031347F">
        <w:rPr>
          <w:sz w:val="22"/>
          <w:szCs w:val="22"/>
        </w:rPr>
        <w:t xml:space="preserve">roductos vigentes al 31 de diciembre de 2022, las </w:t>
      </w:r>
      <w:r w:rsidR="00A27ADC" w:rsidRPr="0031347F">
        <w:rPr>
          <w:sz w:val="22"/>
          <w:szCs w:val="22"/>
        </w:rPr>
        <w:t>d</w:t>
      </w:r>
      <w:r w:rsidRPr="0031347F">
        <w:rPr>
          <w:sz w:val="22"/>
          <w:szCs w:val="22"/>
        </w:rPr>
        <w:t xml:space="preserve">ependencias podrán mantener su cobro durante el periodo de enero a marzo de 2023, hasta en tanto sean aprobados los términos modificados para el </w:t>
      </w:r>
      <w:r w:rsidR="00A27ADC" w:rsidRPr="0031347F">
        <w:rPr>
          <w:sz w:val="22"/>
          <w:szCs w:val="22"/>
        </w:rPr>
        <w:t>E</w:t>
      </w:r>
      <w:r w:rsidRPr="0031347F">
        <w:rPr>
          <w:sz w:val="22"/>
          <w:szCs w:val="22"/>
        </w:rPr>
        <w:t xml:space="preserve">jercicio </w:t>
      </w:r>
      <w:r w:rsidR="00A27ADC" w:rsidRPr="0031347F">
        <w:rPr>
          <w:sz w:val="22"/>
          <w:szCs w:val="22"/>
        </w:rPr>
        <w:t>F</w:t>
      </w:r>
      <w:r w:rsidRPr="0031347F">
        <w:rPr>
          <w:sz w:val="22"/>
          <w:szCs w:val="22"/>
        </w:rPr>
        <w:t xml:space="preserve">iscal 2023. Asimismo, aquellas </w:t>
      </w:r>
      <w:r w:rsidR="00A27ADC" w:rsidRPr="0031347F">
        <w:rPr>
          <w:sz w:val="22"/>
          <w:szCs w:val="22"/>
        </w:rPr>
        <w:t>d</w:t>
      </w:r>
      <w:r w:rsidRPr="0031347F">
        <w:rPr>
          <w:sz w:val="22"/>
          <w:szCs w:val="22"/>
        </w:rPr>
        <w:t>ependencias que, durante el periodo antes referido, hayan solicitado la modificación de los productos vigentes al 31 de diciembre de 2022, podrán mantener su cobro hasta en tanto sea emitida la aprobación correspondiente.</w:t>
      </w:r>
    </w:p>
    <w:p w14:paraId="6E81EE8F" w14:textId="77777777" w:rsidR="001D0A16" w:rsidRPr="0031347F" w:rsidRDefault="001D0A16" w:rsidP="00F606C2">
      <w:pPr>
        <w:rPr>
          <w:sz w:val="22"/>
          <w:szCs w:val="22"/>
        </w:rPr>
      </w:pPr>
    </w:p>
    <w:p w14:paraId="6609A493" w14:textId="1F9A92D2" w:rsidR="009518D1" w:rsidRPr="0031347F" w:rsidRDefault="001D0A16" w:rsidP="00F606C2">
      <w:pPr>
        <w:rPr>
          <w:sz w:val="22"/>
          <w:szCs w:val="22"/>
        </w:rPr>
      </w:pPr>
      <w:r w:rsidRPr="0031347F">
        <w:rPr>
          <w:sz w:val="22"/>
          <w:szCs w:val="22"/>
        </w:rPr>
        <w:t xml:space="preserve">Los </w:t>
      </w:r>
      <w:r w:rsidR="00A27ADC" w:rsidRPr="0031347F">
        <w:rPr>
          <w:sz w:val="22"/>
          <w:szCs w:val="22"/>
        </w:rPr>
        <w:t>P</w:t>
      </w:r>
      <w:r w:rsidRPr="0031347F">
        <w:rPr>
          <w:sz w:val="22"/>
          <w:szCs w:val="22"/>
        </w:rPr>
        <w:t xml:space="preserve">roductos que no sean sometidos a la aprobación de la Secretaría de Finanzas no podrán ser cobrados por la </w:t>
      </w:r>
      <w:r w:rsidR="00A27ADC" w:rsidRPr="0031347F">
        <w:rPr>
          <w:sz w:val="22"/>
          <w:szCs w:val="22"/>
        </w:rPr>
        <w:t>D</w:t>
      </w:r>
      <w:r w:rsidRPr="0031347F">
        <w:rPr>
          <w:sz w:val="22"/>
          <w:szCs w:val="22"/>
        </w:rPr>
        <w:t>ependencia de que se trate</w:t>
      </w:r>
      <w:r w:rsidR="00A27ADC" w:rsidRPr="0031347F">
        <w:rPr>
          <w:sz w:val="22"/>
          <w:szCs w:val="22"/>
        </w:rPr>
        <w:t>,</w:t>
      </w:r>
      <w:r w:rsidRPr="0031347F">
        <w:rPr>
          <w:sz w:val="22"/>
          <w:szCs w:val="22"/>
        </w:rPr>
        <w:t xml:space="preserve"> a partir del 1º de abril de dicho año y hasta la fecha en que sean sometidos y aprobados mediante las resoluciones antes referidas. Asimismo, los </w:t>
      </w:r>
      <w:r w:rsidR="00A27ADC" w:rsidRPr="0031347F">
        <w:rPr>
          <w:sz w:val="22"/>
          <w:szCs w:val="22"/>
        </w:rPr>
        <w:t>P</w:t>
      </w:r>
      <w:r w:rsidRPr="0031347F">
        <w:rPr>
          <w:sz w:val="22"/>
          <w:szCs w:val="22"/>
        </w:rPr>
        <w:t xml:space="preserve">roductos cuya aprobación haya sido negada por parte de la Secretaría de Finanzas, no podrán ser cobrados por la </w:t>
      </w:r>
      <w:r w:rsidR="00A27ADC" w:rsidRPr="0031347F">
        <w:rPr>
          <w:sz w:val="22"/>
          <w:szCs w:val="22"/>
        </w:rPr>
        <w:t>D</w:t>
      </w:r>
      <w:r w:rsidRPr="0031347F">
        <w:rPr>
          <w:sz w:val="22"/>
          <w:szCs w:val="22"/>
        </w:rPr>
        <w:t>ependencia de que se trate, a partir de la fecha en que surta efectos la notificación de la resolución respectiva.</w:t>
      </w:r>
    </w:p>
    <w:p w14:paraId="76FCAC9C" w14:textId="5676CB0A" w:rsidR="00C149A6" w:rsidRPr="0031347F" w:rsidRDefault="00C149A6" w:rsidP="00F606C2">
      <w:pPr>
        <w:rPr>
          <w:sz w:val="22"/>
          <w:szCs w:val="22"/>
        </w:rPr>
      </w:pPr>
    </w:p>
    <w:p w14:paraId="33C8F0C0" w14:textId="156497B4" w:rsidR="00C149A6" w:rsidRPr="0031347F" w:rsidRDefault="00AD6708" w:rsidP="00F606C2">
      <w:pPr>
        <w:rPr>
          <w:sz w:val="22"/>
          <w:szCs w:val="22"/>
        </w:rPr>
      </w:pPr>
      <w:r w:rsidRPr="0031347F">
        <w:rPr>
          <w:sz w:val="22"/>
          <w:szCs w:val="22"/>
        </w:rPr>
        <w:t xml:space="preserve">Los ingresos por </w:t>
      </w:r>
      <w:r w:rsidR="00A27ADC" w:rsidRPr="0031347F">
        <w:rPr>
          <w:sz w:val="22"/>
          <w:szCs w:val="22"/>
        </w:rPr>
        <w:t>P</w:t>
      </w:r>
      <w:r w:rsidRPr="0031347F">
        <w:rPr>
          <w:sz w:val="22"/>
          <w:szCs w:val="22"/>
        </w:rPr>
        <w:t>roductos se podrán destinar, previa aprobación de la Secretaría de Finanzas, a cubrir erogaciones adicionales del Ente Público generador de dichos ingresos; siempre y cuando</w:t>
      </w:r>
      <w:r w:rsidR="00A27ADC" w:rsidRPr="0031347F">
        <w:rPr>
          <w:sz w:val="22"/>
          <w:szCs w:val="22"/>
        </w:rPr>
        <w:t>,</w:t>
      </w:r>
      <w:r w:rsidRPr="0031347F">
        <w:rPr>
          <w:sz w:val="22"/>
          <w:szCs w:val="22"/>
        </w:rPr>
        <w:t xml:space="preserve"> durante el </w:t>
      </w:r>
      <w:r w:rsidR="00A27ADC" w:rsidRPr="0031347F">
        <w:rPr>
          <w:sz w:val="22"/>
          <w:szCs w:val="22"/>
        </w:rPr>
        <w:t>E</w:t>
      </w:r>
      <w:r w:rsidRPr="0031347F">
        <w:rPr>
          <w:sz w:val="22"/>
          <w:szCs w:val="22"/>
        </w:rPr>
        <w:t xml:space="preserve">jercicio </w:t>
      </w:r>
      <w:r w:rsidR="00A27ADC" w:rsidRPr="0031347F">
        <w:rPr>
          <w:sz w:val="22"/>
          <w:szCs w:val="22"/>
        </w:rPr>
        <w:t>F</w:t>
      </w:r>
      <w:r w:rsidRPr="0031347F">
        <w:rPr>
          <w:sz w:val="22"/>
          <w:szCs w:val="22"/>
        </w:rPr>
        <w:t>iscal 2023, se haya recaudado un monto mayor al aprobado en esta Ley y se dé cumplimiento a lo estipulado en las fracciones I y II del artículo 14 de la Ley de Disciplina Financiera de las Entidades Federativas y los Municipios y las fracciones I y II del segundo párrafo del artículo 317 Bis A del Código Financiero del Estado de México y Municipios.</w:t>
      </w:r>
    </w:p>
    <w:p w14:paraId="0A1E1E93" w14:textId="77777777" w:rsidR="00AD6708" w:rsidRPr="0031347F" w:rsidRDefault="00AD6708" w:rsidP="00F606C2">
      <w:pPr>
        <w:rPr>
          <w:sz w:val="22"/>
          <w:szCs w:val="22"/>
        </w:rPr>
      </w:pPr>
    </w:p>
    <w:p w14:paraId="14E4C2F4" w14:textId="3844505C" w:rsidR="00C149A6" w:rsidRPr="0031347F" w:rsidRDefault="00AD6708" w:rsidP="00F606C2">
      <w:pPr>
        <w:rPr>
          <w:sz w:val="22"/>
          <w:szCs w:val="22"/>
        </w:rPr>
      </w:pPr>
      <w:r w:rsidRPr="0031347F">
        <w:rPr>
          <w:sz w:val="22"/>
          <w:szCs w:val="22"/>
        </w:rPr>
        <w:t xml:space="preserve">Los ingresos por </w:t>
      </w:r>
      <w:r w:rsidR="00A27ADC" w:rsidRPr="0031347F">
        <w:rPr>
          <w:sz w:val="22"/>
          <w:szCs w:val="22"/>
        </w:rPr>
        <w:t>P</w:t>
      </w:r>
      <w:r w:rsidRPr="0031347F">
        <w:rPr>
          <w:sz w:val="22"/>
          <w:szCs w:val="22"/>
        </w:rPr>
        <w:t>roductos se deberán enterar a la Caja General de Gobierno de la Subsecretaría de Tesorería de la Secretaría de Finanzas, a más tardar el décimo día del mes siguiente a aquel en que se obtuvo el ingreso, excepto en aquellos casos que se señale en el Código Financiero del Estado de México y Municipios.</w:t>
      </w:r>
    </w:p>
    <w:p w14:paraId="39E32BC3" w14:textId="77777777" w:rsidR="00AD6708" w:rsidRPr="0031347F" w:rsidRDefault="00AD6708" w:rsidP="00F606C2">
      <w:pPr>
        <w:rPr>
          <w:sz w:val="22"/>
          <w:szCs w:val="22"/>
        </w:rPr>
      </w:pPr>
    </w:p>
    <w:p w14:paraId="55864F54" w14:textId="41F6C82D" w:rsidR="00C149A6" w:rsidRPr="0031347F" w:rsidRDefault="00AD6708" w:rsidP="00F606C2">
      <w:pPr>
        <w:rPr>
          <w:sz w:val="22"/>
          <w:szCs w:val="22"/>
        </w:rPr>
      </w:pPr>
      <w:r w:rsidRPr="0031347F">
        <w:rPr>
          <w:sz w:val="22"/>
          <w:szCs w:val="22"/>
        </w:rPr>
        <w:t xml:space="preserve">A las dependencias que omitan total o parcialmente el cobro o entero de los </w:t>
      </w:r>
      <w:r w:rsidR="005C1193" w:rsidRPr="0031347F">
        <w:rPr>
          <w:sz w:val="22"/>
          <w:szCs w:val="22"/>
        </w:rPr>
        <w:t>P</w:t>
      </w:r>
      <w:r w:rsidRPr="0031347F">
        <w:rPr>
          <w:sz w:val="22"/>
          <w:szCs w:val="22"/>
        </w:rPr>
        <w:t xml:space="preserve">roductos establecidos en los términos de esta Ley, se les disminuirá del presupuesto que les haya sido asignado para el </w:t>
      </w:r>
      <w:r w:rsidR="00CD690F" w:rsidRPr="0031347F">
        <w:rPr>
          <w:sz w:val="22"/>
          <w:szCs w:val="22"/>
        </w:rPr>
        <w:t>E</w:t>
      </w:r>
      <w:r w:rsidRPr="0031347F">
        <w:rPr>
          <w:sz w:val="22"/>
          <w:szCs w:val="22"/>
        </w:rPr>
        <w:t xml:space="preserve">jercicio </w:t>
      </w:r>
      <w:r w:rsidR="00CD690F" w:rsidRPr="0031347F">
        <w:rPr>
          <w:sz w:val="22"/>
          <w:szCs w:val="22"/>
        </w:rPr>
        <w:t>F</w:t>
      </w:r>
      <w:r w:rsidRPr="0031347F">
        <w:rPr>
          <w:sz w:val="22"/>
          <w:szCs w:val="22"/>
        </w:rPr>
        <w:t>iscal, una cantidad equivalente al valor de la omisión.</w:t>
      </w:r>
    </w:p>
    <w:p w14:paraId="6F6D9EC7" w14:textId="77777777" w:rsidR="00AD6708" w:rsidRPr="0031347F" w:rsidRDefault="00AD6708" w:rsidP="00F606C2">
      <w:pPr>
        <w:rPr>
          <w:sz w:val="22"/>
          <w:szCs w:val="22"/>
        </w:rPr>
      </w:pPr>
    </w:p>
    <w:p w14:paraId="1C9E224F" w14:textId="34304CA0" w:rsidR="00C149A6" w:rsidRPr="0031347F" w:rsidRDefault="00C149A6" w:rsidP="00F606C2">
      <w:pPr>
        <w:rPr>
          <w:sz w:val="22"/>
          <w:szCs w:val="22"/>
        </w:rPr>
      </w:pPr>
      <w:r w:rsidRPr="0031347F">
        <w:rPr>
          <w:sz w:val="22"/>
          <w:szCs w:val="22"/>
        </w:rPr>
        <w:t>Las enajenaciones de bienes muebles e inmuebles que lleve a cabo el Ejecutivo del Estado se realizarán por conducto del Titular de la Secretaría de Finanzas o por el funcionario que el mismo designe. Los montos máximos de enajenación mediante adjudicación directa de bienes muebles e inmuebles que realicen la Secretaría de Finanzas, las Entidades Públicas, serán los siguientes:</w:t>
      </w:r>
    </w:p>
    <w:p w14:paraId="090C4F28" w14:textId="77777777" w:rsidR="00F606C2" w:rsidRPr="004706FD" w:rsidRDefault="00F606C2" w:rsidP="00C149A6">
      <w:pPr>
        <w:rPr>
          <w:sz w:val="14"/>
          <w:szCs w:val="14"/>
        </w:rPr>
      </w:pPr>
    </w:p>
    <w:tbl>
      <w:tblPr>
        <w:tblStyle w:val="Tablaconcuadrcula"/>
        <w:tblW w:w="7508" w:type="dxa"/>
        <w:jc w:val="center"/>
        <w:tblLayout w:type="fixed"/>
        <w:tblLook w:val="04A0" w:firstRow="1" w:lastRow="0" w:firstColumn="1" w:lastColumn="0" w:noHBand="0" w:noVBand="1"/>
      </w:tblPr>
      <w:tblGrid>
        <w:gridCol w:w="2835"/>
        <w:gridCol w:w="2405"/>
        <w:gridCol w:w="2268"/>
      </w:tblGrid>
      <w:tr w:rsidR="00C149A6" w:rsidRPr="0050382A" w14:paraId="6E28A88A" w14:textId="77777777" w:rsidTr="00F3651C">
        <w:trPr>
          <w:jc w:val="center"/>
        </w:trPr>
        <w:tc>
          <w:tcPr>
            <w:tcW w:w="2835" w:type="dxa"/>
            <w:vMerge w:val="restart"/>
            <w:shd w:val="clear" w:color="auto" w:fill="D9D9D9" w:themeFill="background1" w:themeFillShade="D9"/>
            <w:vAlign w:val="center"/>
          </w:tcPr>
          <w:p w14:paraId="26AF1D93" w14:textId="77777777" w:rsidR="00C149A6" w:rsidRPr="0050382A" w:rsidRDefault="00C149A6" w:rsidP="00C34029">
            <w:pPr>
              <w:autoSpaceDE w:val="0"/>
              <w:autoSpaceDN w:val="0"/>
              <w:adjustRightInd w:val="0"/>
              <w:jc w:val="center"/>
              <w:rPr>
                <w:rFonts w:cs="ArialMT"/>
                <w:b/>
                <w:sz w:val="22"/>
                <w:szCs w:val="22"/>
              </w:rPr>
            </w:pPr>
            <w:r w:rsidRPr="0050382A">
              <w:rPr>
                <w:rFonts w:cs="ArialMT"/>
                <w:b/>
                <w:sz w:val="22"/>
                <w:szCs w:val="22"/>
              </w:rPr>
              <w:t>Bienes</w:t>
            </w:r>
          </w:p>
        </w:tc>
        <w:tc>
          <w:tcPr>
            <w:tcW w:w="4673" w:type="dxa"/>
            <w:gridSpan w:val="2"/>
            <w:shd w:val="clear" w:color="auto" w:fill="D9D9D9" w:themeFill="background1" w:themeFillShade="D9"/>
            <w:vAlign w:val="center"/>
          </w:tcPr>
          <w:p w14:paraId="270E6440" w14:textId="77777777" w:rsidR="00C149A6" w:rsidRPr="0050382A" w:rsidRDefault="00C149A6" w:rsidP="00C34029">
            <w:pPr>
              <w:autoSpaceDE w:val="0"/>
              <w:autoSpaceDN w:val="0"/>
              <w:adjustRightInd w:val="0"/>
              <w:jc w:val="center"/>
              <w:rPr>
                <w:rFonts w:cs="ArialMT"/>
                <w:b/>
                <w:sz w:val="22"/>
                <w:szCs w:val="22"/>
              </w:rPr>
            </w:pPr>
            <w:r w:rsidRPr="0050382A">
              <w:rPr>
                <w:rFonts w:cs="ArialMT"/>
                <w:b/>
                <w:sz w:val="22"/>
                <w:szCs w:val="22"/>
              </w:rPr>
              <w:t>Monto máximo de cada operación</w:t>
            </w:r>
          </w:p>
        </w:tc>
      </w:tr>
      <w:tr w:rsidR="00C149A6" w:rsidRPr="0050382A" w14:paraId="5E2F59C7" w14:textId="77777777" w:rsidTr="00F3651C">
        <w:trPr>
          <w:jc w:val="center"/>
        </w:trPr>
        <w:tc>
          <w:tcPr>
            <w:tcW w:w="2835" w:type="dxa"/>
            <w:vMerge/>
            <w:shd w:val="clear" w:color="auto" w:fill="D9D9D9" w:themeFill="background1" w:themeFillShade="D9"/>
          </w:tcPr>
          <w:p w14:paraId="28D6A64D" w14:textId="77777777" w:rsidR="00C149A6" w:rsidRPr="0050382A" w:rsidRDefault="00C149A6" w:rsidP="00C34029">
            <w:pPr>
              <w:autoSpaceDE w:val="0"/>
              <w:autoSpaceDN w:val="0"/>
              <w:adjustRightInd w:val="0"/>
              <w:rPr>
                <w:rFonts w:cs="ArialMT"/>
                <w:b/>
                <w:sz w:val="22"/>
                <w:szCs w:val="22"/>
              </w:rPr>
            </w:pPr>
          </w:p>
        </w:tc>
        <w:tc>
          <w:tcPr>
            <w:tcW w:w="2405" w:type="dxa"/>
            <w:shd w:val="clear" w:color="auto" w:fill="D9D9D9" w:themeFill="background1" w:themeFillShade="D9"/>
            <w:vAlign w:val="center"/>
          </w:tcPr>
          <w:p w14:paraId="4DB6AEAA" w14:textId="77777777" w:rsidR="00C149A6" w:rsidRPr="0050382A" w:rsidRDefault="00C149A6" w:rsidP="00C34029">
            <w:pPr>
              <w:autoSpaceDE w:val="0"/>
              <w:autoSpaceDN w:val="0"/>
              <w:adjustRightInd w:val="0"/>
              <w:jc w:val="center"/>
              <w:rPr>
                <w:rFonts w:cs="ArialMT"/>
                <w:b/>
                <w:sz w:val="22"/>
                <w:szCs w:val="22"/>
              </w:rPr>
            </w:pPr>
            <w:r w:rsidRPr="0050382A">
              <w:rPr>
                <w:rFonts w:cs="ArialMT"/>
                <w:b/>
                <w:sz w:val="22"/>
                <w:szCs w:val="22"/>
              </w:rPr>
              <w:t>Mayor de</w:t>
            </w:r>
          </w:p>
        </w:tc>
        <w:tc>
          <w:tcPr>
            <w:tcW w:w="2268" w:type="dxa"/>
            <w:shd w:val="clear" w:color="auto" w:fill="D9D9D9" w:themeFill="background1" w:themeFillShade="D9"/>
            <w:vAlign w:val="center"/>
          </w:tcPr>
          <w:p w14:paraId="74578FAA" w14:textId="77777777" w:rsidR="00C149A6" w:rsidRPr="0050382A" w:rsidRDefault="00C149A6" w:rsidP="00C34029">
            <w:pPr>
              <w:autoSpaceDE w:val="0"/>
              <w:autoSpaceDN w:val="0"/>
              <w:adjustRightInd w:val="0"/>
              <w:jc w:val="center"/>
              <w:rPr>
                <w:rFonts w:cs="ArialMT"/>
                <w:b/>
                <w:sz w:val="22"/>
                <w:szCs w:val="22"/>
              </w:rPr>
            </w:pPr>
            <w:r w:rsidRPr="0050382A">
              <w:rPr>
                <w:rFonts w:cs="ArialMT"/>
                <w:b/>
                <w:sz w:val="22"/>
                <w:szCs w:val="22"/>
              </w:rPr>
              <w:t>Hasta</w:t>
            </w:r>
          </w:p>
        </w:tc>
      </w:tr>
      <w:tr w:rsidR="00C149A6" w:rsidRPr="0050382A" w14:paraId="26182F47" w14:textId="77777777" w:rsidTr="00F3651C">
        <w:trPr>
          <w:jc w:val="center"/>
        </w:trPr>
        <w:tc>
          <w:tcPr>
            <w:tcW w:w="2835" w:type="dxa"/>
          </w:tcPr>
          <w:p w14:paraId="59940C38" w14:textId="77777777" w:rsidR="00C149A6" w:rsidRPr="0050382A" w:rsidRDefault="00C149A6" w:rsidP="00C34029">
            <w:pPr>
              <w:autoSpaceDE w:val="0"/>
              <w:autoSpaceDN w:val="0"/>
              <w:adjustRightInd w:val="0"/>
              <w:rPr>
                <w:rFonts w:cs="ArialMT"/>
                <w:bCs/>
                <w:sz w:val="22"/>
                <w:szCs w:val="22"/>
              </w:rPr>
            </w:pPr>
            <w:r w:rsidRPr="0050382A">
              <w:rPr>
                <w:rFonts w:cs="ArialMT"/>
                <w:bCs/>
                <w:sz w:val="22"/>
                <w:szCs w:val="22"/>
              </w:rPr>
              <w:t>Muebles</w:t>
            </w:r>
          </w:p>
        </w:tc>
        <w:tc>
          <w:tcPr>
            <w:tcW w:w="2405" w:type="dxa"/>
            <w:vAlign w:val="center"/>
          </w:tcPr>
          <w:p w14:paraId="1FA5B3E3" w14:textId="77777777" w:rsidR="00C149A6" w:rsidRPr="0050382A" w:rsidRDefault="00C149A6" w:rsidP="00F3651C">
            <w:pPr>
              <w:autoSpaceDE w:val="0"/>
              <w:autoSpaceDN w:val="0"/>
              <w:adjustRightInd w:val="0"/>
              <w:jc w:val="center"/>
              <w:rPr>
                <w:rFonts w:cs="Arial"/>
                <w:bCs/>
                <w:sz w:val="22"/>
                <w:szCs w:val="22"/>
              </w:rPr>
            </w:pPr>
            <w:r w:rsidRPr="0050382A">
              <w:rPr>
                <w:rFonts w:cs="Arial"/>
                <w:bCs/>
                <w:sz w:val="22"/>
                <w:szCs w:val="22"/>
              </w:rPr>
              <w:t>$0.00</w:t>
            </w:r>
          </w:p>
        </w:tc>
        <w:tc>
          <w:tcPr>
            <w:tcW w:w="2268" w:type="dxa"/>
            <w:vAlign w:val="center"/>
          </w:tcPr>
          <w:p w14:paraId="32F2C263" w14:textId="77777777" w:rsidR="00C149A6" w:rsidRPr="0050382A" w:rsidRDefault="00C149A6" w:rsidP="00F3651C">
            <w:pPr>
              <w:autoSpaceDE w:val="0"/>
              <w:autoSpaceDN w:val="0"/>
              <w:adjustRightInd w:val="0"/>
              <w:jc w:val="center"/>
              <w:rPr>
                <w:rFonts w:cs="Arial"/>
                <w:bCs/>
                <w:sz w:val="22"/>
                <w:szCs w:val="22"/>
              </w:rPr>
            </w:pPr>
            <w:r w:rsidRPr="0050382A">
              <w:rPr>
                <w:rFonts w:cs="Arial"/>
                <w:bCs/>
                <w:sz w:val="22"/>
                <w:szCs w:val="22"/>
              </w:rPr>
              <w:t>$600,000.00</w:t>
            </w:r>
          </w:p>
        </w:tc>
      </w:tr>
      <w:tr w:rsidR="00C149A6" w:rsidRPr="0050382A" w14:paraId="477DBBD0" w14:textId="77777777" w:rsidTr="00F3651C">
        <w:trPr>
          <w:jc w:val="center"/>
        </w:trPr>
        <w:tc>
          <w:tcPr>
            <w:tcW w:w="2835" w:type="dxa"/>
          </w:tcPr>
          <w:p w14:paraId="08DA6C12" w14:textId="77777777" w:rsidR="00C149A6" w:rsidRPr="0050382A" w:rsidRDefault="00C149A6" w:rsidP="00C34029">
            <w:pPr>
              <w:autoSpaceDE w:val="0"/>
              <w:autoSpaceDN w:val="0"/>
              <w:adjustRightInd w:val="0"/>
              <w:rPr>
                <w:rFonts w:cs="ArialMT"/>
                <w:bCs/>
                <w:sz w:val="22"/>
                <w:szCs w:val="22"/>
              </w:rPr>
            </w:pPr>
            <w:r w:rsidRPr="0050382A">
              <w:rPr>
                <w:rFonts w:cs="ArialMT"/>
                <w:bCs/>
                <w:sz w:val="22"/>
                <w:szCs w:val="22"/>
              </w:rPr>
              <w:t>Inmuebles</w:t>
            </w:r>
          </w:p>
        </w:tc>
        <w:tc>
          <w:tcPr>
            <w:tcW w:w="2405" w:type="dxa"/>
            <w:vAlign w:val="center"/>
          </w:tcPr>
          <w:p w14:paraId="3E70A7A3" w14:textId="77777777" w:rsidR="00C149A6" w:rsidRPr="0050382A" w:rsidRDefault="00C149A6" w:rsidP="00F3651C">
            <w:pPr>
              <w:autoSpaceDE w:val="0"/>
              <w:autoSpaceDN w:val="0"/>
              <w:adjustRightInd w:val="0"/>
              <w:jc w:val="center"/>
              <w:rPr>
                <w:rFonts w:cs="Arial"/>
                <w:bCs/>
                <w:sz w:val="22"/>
                <w:szCs w:val="22"/>
              </w:rPr>
            </w:pPr>
            <w:r w:rsidRPr="0050382A">
              <w:rPr>
                <w:rFonts w:cs="Arial"/>
                <w:bCs/>
                <w:sz w:val="22"/>
                <w:szCs w:val="22"/>
              </w:rPr>
              <w:t>$0.00</w:t>
            </w:r>
          </w:p>
        </w:tc>
        <w:tc>
          <w:tcPr>
            <w:tcW w:w="2268" w:type="dxa"/>
            <w:vAlign w:val="center"/>
          </w:tcPr>
          <w:p w14:paraId="02DBDB6E" w14:textId="77777777" w:rsidR="00C149A6" w:rsidRPr="0050382A" w:rsidRDefault="00C149A6" w:rsidP="00F3651C">
            <w:pPr>
              <w:autoSpaceDE w:val="0"/>
              <w:autoSpaceDN w:val="0"/>
              <w:adjustRightInd w:val="0"/>
              <w:jc w:val="center"/>
              <w:rPr>
                <w:rFonts w:cs="Arial"/>
                <w:bCs/>
                <w:sz w:val="22"/>
                <w:szCs w:val="22"/>
              </w:rPr>
            </w:pPr>
            <w:r w:rsidRPr="0050382A">
              <w:rPr>
                <w:rFonts w:cs="Arial"/>
                <w:bCs/>
                <w:sz w:val="22"/>
                <w:szCs w:val="22"/>
              </w:rPr>
              <w:t>$5,000,000.00</w:t>
            </w:r>
          </w:p>
        </w:tc>
      </w:tr>
    </w:tbl>
    <w:p w14:paraId="110663CD" w14:textId="77777777" w:rsidR="00AD6708" w:rsidRPr="00D57FF3" w:rsidRDefault="00AD6708" w:rsidP="00F606C2">
      <w:pPr>
        <w:rPr>
          <w:sz w:val="8"/>
          <w:szCs w:val="8"/>
        </w:rPr>
      </w:pPr>
    </w:p>
    <w:p w14:paraId="7E53FDDF" w14:textId="77777777" w:rsidR="00557646" w:rsidRDefault="00557646" w:rsidP="00F606C2">
      <w:pPr>
        <w:rPr>
          <w:sz w:val="22"/>
          <w:szCs w:val="22"/>
        </w:rPr>
      </w:pPr>
    </w:p>
    <w:p w14:paraId="1C68382D" w14:textId="4B0DE5F7" w:rsidR="00C149A6" w:rsidRPr="0050382A" w:rsidRDefault="00AD6708" w:rsidP="00F606C2">
      <w:pPr>
        <w:rPr>
          <w:sz w:val="22"/>
          <w:szCs w:val="22"/>
        </w:rPr>
      </w:pPr>
      <w:r w:rsidRPr="0050382A">
        <w:rPr>
          <w:sz w:val="22"/>
          <w:szCs w:val="22"/>
        </w:rPr>
        <w:lastRenderedPageBreak/>
        <w:t>Para efecto de lo dispuesto en este artículo, la Secretaría de Finanzas publicará en el Periódico Oficial “Gaceta del Gobierno”, las Reglas de Aplicación</w:t>
      </w:r>
      <w:r w:rsidR="005C1193" w:rsidRPr="0050382A">
        <w:rPr>
          <w:sz w:val="22"/>
          <w:szCs w:val="22"/>
        </w:rPr>
        <w:t xml:space="preserve"> </w:t>
      </w:r>
      <w:r w:rsidRPr="0050382A">
        <w:rPr>
          <w:sz w:val="22"/>
          <w:szCs w:val="22"/>
        </w:rPr>
        <w:t xml:space="preserve">donde se establezcan los requisitos y obligaciones relativos a la aprobación de los </w:t>
      </w:r>
      <w:r w:rsidR="00A817F6" w:rsidRPr="0050382A">
        <w:rPr>
          <w:sz w:val="22"/>
          <w:szCs w:val="22"/>
        </w:rPr>
        <w:t>P</w:t>
      </w:r>
      <w:r w:rsidRPr="0050382A">
        <w:rPr>
          <w:sz w:val="22"/>
          <w:szCs w:val="22"/>
        </w:rPr>
        <w:t xml:space="preserve">roductos a cobrar en el </w:t>
      </w:r>
      <w:r w:rsidR="005C1193" w:rsidRPr="0050382A">
        <w:rPr>
          <w:sz w:val="22"/>
          <w:szCs w:val="22"/>
        </w:rPr>
        <w:t>E</w:t>
      </w:r>
      <w:r w:rsidRPr="0050382A">
        <w:rPr>
          <w:sz w:val="22"/>
          <w:szCs w:val="22"/>
        </w:rPr>
        <w:t xml:space="preserve">jercicio </w:t>
      </w:r>
      <w:r w:rsidR="005C1193" w:rsidRPr="0050382A">
        <w:rPr>
          <w:sz w:val="22"/>
          <w:szCs w:val="22"/>
        </w:rPr>
        <w:t>F</w:t>
      </w:r>
      <w:r w:rsidRPr="0050382A">
        <w:rPr>
          <w:sz w:val="22"/>
          <w:szCs w:val="22"/>
        </w:rPr>
        <w:t>iscal 2023, así como aquellos productos que no requieran de autorización para su cobro.</w:t>
      </w:r>
    </w:p>
    <w:p w14:paraId="7913E088" w14:textId="77777777" w:rsidR="00AD6708" w:rsidRPr="004706FD" w:rsidRDefault="00AD6708" w:rsidP="00F606C2">
      <w:pPr>
        <w:rPr>
          <w:sz w:val="14"/>
          <w:szCs w:val="14"/>
        </w:rPr>
      </w:pPr>
    </w:p>
    <w:p w14:paraId="2FE847CE" w14:textId="730E42B3" w:rsidR="00185C9B" w:rsidRPr="0050382A" w:rsidRDefault="00E11944" w:rsidP="00F606C2">
      <w:pPr>
        <w:rPr>
          <w:sz w:val="22"/>
          <w:szCs w:val="22"/>
        </w:rPr>
      </w:pPr>
      <w:r w:rsidRPr="0050382A">
        <w:rPr>
          <w:b/>
          <w:bCs/>
          <w:sz w:val="22"/>
          <w:szCs w:val="22"/>
        </w:rPr>
        <w:t>Artículo 1</w:t>
      </w:r>
      <w:r w:rsidR="00C149A6" w:rsidRPr="0050382A">
        <w:rPr>
          <w:b/>
          <w:bCs/>
          <w:sz w:val="22"/>
          <w:szCs w:val="22"/>
        </w:rPr>
        <w:t>7</w:t>
      </w:r>
      <w:r w:rsidRPr="0050382A">
        <w:rPr>
          <w:b/>
          <w:bCs/>
          <w:sz w:val="22"/>
          <w:szCs w:val="22"/>
        </w:rPr>
        <w:t xml:space="preserve">.- </w:t>
      </w:r>
      <w:r w:rsidR="009518D1" w:rsidRPr="0050382A">
        <w:rPr>
          <w:sz w:val="22"/>
          <w:szCs w:val="22"/>
        </w:rPr>
        <w:t xml:space="preserve">Las Entidades Públicas señaladas en el artículo 1 de esta Ley, podrán cobrar los montos y denominaciones de los precios y tarifas que correspondan por los bienes y servicios que presten, durante el </w:t>
      </w:r>
      <w:r w:rsidR="005C1193" w:rsidRPr="0050382A">
        <w:rPr>
          <w:sz w:val="22"/>
          <w:szCs w:val="22"/>
        </w:rPr>
        <w:t>E</w:t>
      </w:r>
      <w:r w:rsidR="009518D1" w:rsidRPr="0050382A">
        <w:rPr>
          <w:sz w:val="22"/>
          <w:szCs w:val="22"/>
        </w:rPr>
        <w:t xml:space="preserve">jercicio </w:t>
      </w:r>
      <w:r w:rsidR="005C1193" w:rsidRPr="0050382A">
        <w:rPr>
          <w:sz w:val="22"/>
          <w:szCs w:val="22"/>
        </w:rPr>
        <w:t>F</w:t>
      </w:r>
      <w:r w:rsidR="009518D1" w:rsidRPr="0050382A">
        <w:rPr>
          <w:sz w:val="22"/>
          <w:szCs w:val="22"/>
        </w:rPr>
        <w:t>iscal 2023.</w:t>
      </w:r>
    </w:p>
    <w:p w14:paraId="4DE68173" w14:textId="1F00E535" w:rsidR="009518D1" w:rsidRPr="00D57FF3" w:rsidRDefault="009518D1" w:rsidP="00F606C2">
      <w:pPr>
        <w:rPr>
          <w:sz w:val="14"/>
          <w:szCs w:val="14"/>
        </w:rPr>
      </w:pPr>
    </w:p>
    <w:p w14:paraId="46633578" w14:textId="0F76D4C6" w:rsidR="009518D1" w:rsidRPr="0050382A" w:rsidRDefault="002D4A9B" w:rsidP="00F606C2">
      <w:pPr>
        <w:rPr>
          <w:sz w:val="22"/>
          <w:szCs w:val="22"/>
        </w:rPr>
      </w:pPr>
      <w:r w:rsidRPr="0050382A">
        <w:rPr>
          <w:sz w:val="22"/>
          <w:szCs w:val="22"/>
        </w:rPr>
        <w:t>Para lo dispuesto en el párrafo anterior, las Entidades Públicas estarán obligadas a informar la Secretaría de Finanzas los montos y denominaciones de dichos bienes y servicios.</w:t>
      </w:r>
    </w:p>
    <w:p w14:paraId="72ED33B2" w14:textId="77777777" w:rsidR="002D4A9B" w:rsidRPr="00D57FF3" w:rsidRDefault="002D4A9B" w:rsidP="00F606C2">
      <w:pPr>
        <w:rPr>
          <w:sz w:val="14"/>
          <w:szCs w:val="14"/>
        </w:rPr>
      </w:pPr>
    </w:p>
    <w:p w14:paraId="6B4809B3" w14:textId="570A7331" w:rsidR="009518D1" w:rsidRPr="0050382A" w:rsidRDefault="009518D1" w:rsidP="00F606C2">
      <w:pPr>
        <w:rPr>
          <w:sz w:val="22"/>
          <w:szCs w:val="22"/>
        </w:rPr>
      </w:pPr>
      <w:bookmarkStart w:id="4" w:name="_Hlk119411288"/>
      <w:r w:rsidRPr="0050382A">
        <w:rPr>
          <w:sz w:val="22"/>
          <w:szCs w:val="22"/>
        </w:rPr>
        <w:t>Tratándose de los montos y denominaciones de los precios y tarifas de los bienes y servicios prestados vigentes al 31 de diciembre de 2022, las Entidades Públicas podrán mantener su cobro durante el periodo de enero a marzo de 2023</w:t>
      </w:r>
      <w:r w:rsidR="002C29F0" w:rsidRPr="0050382A">
        <w:rPr>
          <w:sz w:val="22"/>
          <w:szCs w:val="22"/>
        </w:rPr>
        <w:t>, hasta en tanto sean informados los términos modificados para el Ejercicio Fiscal 2023</w:t>
      </w:r>
      <w:r w:rsidRPr="0050382A">
        <w:rPr>
          <w:sz w:val="22"/>
          <w:szCs w:val="22"/>
        </w:rPr>
        <w:t xml:space="preserve">. </w:t>
      </w:r>
      <w:r w:rsidR="002C29F0" w:rsidRPr="0050382A">
        <w:rPr>
          <w:sz w:val="22"/>
          <w:szCs w:val="22"/>
        </w:rPr>
        <w:t>Asimismo, a</w:t>
      </w:r>
      <w:r w:rsidRPr="0050382A">
        <w:rPr>
          <w:sz w:val="22"/>
          <w:szCs w:val="22"/>
        </w:rPr>
        <w:t xml:space="preserve">quellas Entidades Públicas que, durante el periodo antes referido, hayan informado a la Secretaría de Finanzas los bienes y servicios a cobrar para el </w:t>
      </w:r>
      <w:r w:rsidR="00FD1DD3" w:rsidRPr="0050382A">
        <w:rPr>
          <w:sz w:val="22"/>
          <w:szCs w:val="22"/>
        </w:rPr>
        <w:t>E</w:t>
      </w:r>
      <w:r w:rsidRPr="0050382A">
        <w:rPr>
          <w:sz w:val="22"/>
          <w:szCs w:val="22"/>
        </w:rPr>
        <w:t xml:space="preserve">jercicio </w:t>
      </w:r>
      <w:r w:rsidR="00FD1DD3" w:rsidRPr="0050382A">
        <w:rPr>
          <w:sz w:val="22"/>
          <w:szCs w:val="22"/>
        </w:rPr>
        <w:t>F</w:t>
      </w:r>
      <w:r w:rsidRPr="0050382A">
        <w:rPr>
          <w:sz w:val="22"/>
          <w:szCs w:val="22"/>
        </w:rPr>
        <w:t xml:space="preserve">iscal 2023, podrán mantener </w:t>
      </w:r>
      <w:r w:rsidR="002C29F0" w:rsidRPr="0050382A">
        <w:rPr>
          <w:sz w:val="22"/>
          <w:szCs w:val="22"/>
        </w:rPr>
        <w:t xml:space="preserve">el cobro vigente al 31 de diciembre de 2022, </w:t>
      </w:r>
      <w:r w:rsidRPr="0050382A">
        <w:rPr>
          <w:sz w:val="22"/>
          <w:szCs w:val="22"/>
        </w:rPr>
        <w:t>hasta en tanto entren en vigor los conceptos informados.</w:t>
      </w:r>
    </w:p>
    <w:bookmarkEnd w:id="4"/>
    <w:p w14:paraId="130CC365" w14:textId="763A9DE4" w:rsidR="009518D1" w:rsidRPr="00D57FF3" w:rsidRDefault="009518D1" w:rsidP="00F606C2">
      <w:pPr>
        <w:rPr>
          <w:sz w:val="14"/>
          <w:szCs w:val="14"/>
        </w:rPr>
      </w:pPr>
    </w:p>
    <w:p w14:paraId="0BE139FD" w14:textId="6DF900EE" w:rsidR="009518D1" w:rsidRPr="0050382A" w:rsidRDefault="009518D1" w:rsidP="00F606C2">
      <w:pPr>
        <w:rPr>
          <w:sz w:val="22"/>
          <w:szCs w:val="22"/>
        </w:rPr>
      </w:pPr>
      <w:r w:rsidRPr="0050382A">
        <w:rPr>
          <w:sz w:val="22"/>
          <w:szCs w:val="22"/>
        </w:rPr>
        <w:t>La Secretaría de Finanzas podrá, mediante resoluciones de carácter particular, modificar los montos y denominaciones de los precios y tarifas por los bienes y servicios que sean informados.</w:t>
      </w:r>
    </w:p>
    <w:p w14:paraId="04A5955A" w14:textId="7BB554DD" w:rsidR="009518D1" w:rsidRPr="00D57FF3" w:rsidRDefault="009518D1" w:rsidP="00F606C2">
      <w:pPr>
        <w:rPr>
          <w:sz w:val="14"/>
          <w:szCs w:val="14"/>
        </w:rPr>
      </w:pPr>
    </w:p>
    <w:p w14:paraId="7685AF4C" w14:textId="771274A8" w:rsidR="00AD6708" w:rsidRPr="0050382A" w:rsidRDefault="00AD6708" w:rsidP="00F606C2">
      <w:pPr>
        <w:rPr>
          <w:sz w:val="22"/>
          <w:szCs w:val="22"/>
        </w:rPr>
      </w:pPr>
      <w:r w:rsidRPr="0050382A">
        <w:rPr>
          <w:sz w:val="22"/>
          <w:szCs w:val="22"/>
        </w:rPr>
        <w:t xml:space="preserve">Los precios y tarifas que no sean informados a la Secretaría de Finanzas no podrán ser cobrados por la </w:t>
      </w:r>
      <w:r w:rsidR="0096635B" w:rsidRPr="0050382A">
        <w:rPr>
          <w:sz w:val="22"/>
          <w:szCs w:val="22"/>
        </w:rPr>
        <w:t>E</w:t>
      </w:r>
      <w:r w:rsidRPr="0050382A">
        <w:rPr>
          <w:sz w:val="22"/>
          <w:szCs w:val="22"/>
        </w:rPr>
        <w:t xml:space="preserve">ntidad </w:t>
      </w:r>
      <w:r w:rsidR="0096635B" w:rsidRPr="0050382A">
        <w:rPr>
          <w:sz w:val="22"/>
          <w:szCs w:val="22"/>
        </w:rPr>
        <w:t>P</w:t>
      </w:r>
      <w:r w:rsidRPr="0050382A">
        <w:rPr>
          <w:sz w:val="22"/>
          <w:szCs w:val="22"/>
        </w:rPr>
        <w:t>ública de que se trate a partir del 1º de abril de dicho año y hasta la fecha en que sean informados.</w:t>
      </w:r>
    </w:p>
    <w:p w14:paraId="4F794E15" w14:textId="77777777" w:rsidR="00AD6708" w:rsidRPr="00D57FF3" w:rsidRDefault="00AD6708" w:rsidP="00F606C2">
      <w:pPr>
        <w:rPr>
          <w:sz w:val="14"/>
          <w:szCs w:val="14"/>
        </w:rPr>
      </w:pPr>
    </w:p>
    <w:p w14:paraId="6480B043" w14:textId="4039EDF8" w:rsidR="009518D1" w:rsidRPr="0050382A" w:rsidRDefault="009518D1" w:rsidP="00F606C2">
      <w:pPr>
        <w:rPr>
          <w:sz w:val="22"/>
          <w:szCs w:val="22"/>
        </w:rPr>
      </w:pPr>
      <w:r w:rsidRPr="0050382A">
        <w:rPr>
          <w:sz w:val="22"/>
          <w:szCs w:val="22"/>
        </w:rPr>
        <w:t>Para efecto de lo dispuesto en este artículo, la Secretaría de Finanzas publicará en el Periódico Oficial “Gaceta del Gobierno”, las Reglas de Aplicación</w:t>
      </w:r>
      <w:r w:rsidR="005C1193" w:rsidRPr="0050382A">
        <w:rPr>
          <w:sz w:val="22"/>
          <w:szCs w:val="22"/>
        </w:rPr>
        <w:t xml:space="preserve"> </w:t>
      </w:r>
      <w:r w:rsidRPr="0050382A">
        <w:rPr>
          <w:sz w:val="22"/>
          <w:szCs w:val="22"/>
        </w:rPr>
        <w:t xml:space="preserve">donde se establezcan los requisitos, obligaciones y procedimientos para informar los montos y denominaciones de los precios y tarifas por los bienes y servicios los precios y tarifas a cobrar en el </w:t>
      </w:r>
      <w:r w:rsidR="005C1193" w:rsidRPr="0050382A">
        <w:rPr>
          <w:sz w:val="22"/>
          <w:szCs w:val="22"/>
        </w:rPr>
        <w:t>E</w:t>
      </w:r>
      <w:r w:rsidRPr="0050382A">
        <w:rPr>
          <w:sz w:val="22"/>
          <w:szCs w:val="22"/>
        </w:rPr>
        <w:t xml:space="preserve">jercicio </w:t>
      </w:r>
      <w:r w:rsidR="005C1193" w:rsidRPr="0050382A">
        <w:rPr>
          <w:sz w:val="22"/>
          <w:szCs w:val="22"/>
        </w:rPr>
        <w:t>F</w:t>
      </w:r>
      <w:r w:rsidRPr="0050382A">
        <w:rPr>
          <w:sz w:val="22"/>
          <w:szCs w:val="22"/>
        </w:rPr>
        <w:t>iscal 2023.</w:t>
      </w:r>
    </w:p>
    <w:p w14:paraId="73A513B8" w14:textId="77777777" w:rsidR="00E11944" w:rsidRPr="00D57FF3" w:rsidRDefault="00E11944" w:rsidP="00F606C2">
      <w:pPr>
        <w:rPr>
          <w:rFonts w:cs="ArialMT"/>
          <w:sz w:val="14"/>
          <w:szCs w:val="14"/>
        </w:rPr>
      </w:pPr>
    </w:p>
    <w:p w14:paraId="1EF26884" w14:textId="49E2A4F8" w:rsidR="00E11944" w:rsidRPr="0050382A" w:rsidRDefault="00E11944" w:rsidP="00F606C2">
      <w:pPr>
        <w:rPr>
          <w:b/>
          <w:bCs/>
          <w:sz w:val="22"/>
          <w:szCs w:val="22"/>
        </w:rPr>
      </w:pPr>
      <w:r w:rsidRPr="0050382A">
        <w:rPr>
          <w:b/>
          <w:bCs/>
          <w:sz w:val="22"/>
          <w:szCs w:val="22"/>
        </w:rPr>
        <w:t>Artículo 1</w:t>
      </w:r>
      <w:r w:rsidR="00BB3247" w:rsidRPr="0050382A">
        <w:rPr>
          <w:b/>
          <w:bCs/>
          <w:sz w:val="22"/>
          <w:szCs w:val="22"/>
        </w:rPr>
        <w:t>8</w:t>
      </w:r>
      <w:r w:rsidRPr="0050382A">
        <w:rPr>
          <w:b/>
          <w:bCs/>
          <w:sz w:val="22"/>
          <w:szCs w:val="22"/>
        </w:rPr>
        <w:t xml:space="preserve">.- </w:t>
      </w:r>
      <w:r w:rsidRPr="0050382A">
        <w:rPr>
          <w:sz w:val="22"/>
          <w:szCs w:val="22"/>
        </w:rPr>
        <w:t>Se podrán cancelar los créditos fiscales determinados con anterioridad al 1º de enero de 201</w:t>
      </w:r>
      <w:r w:rsidR="00013C83" w:rsidRPr="0050382A">
        <w:rPr>
          <w:sz w:val="22"/>
          <w:szCs w:val="22"/>
        </w:rPr>
        <w:t>9</w:t>
      </w:r>
      <w:r w:rsidRPr="0050382A">
        <w:rPr>
          <w:sz w:val="22"/>
          <w:szCs w:val="22"/>
        </w:rPr>
        <w:t xml:space="preserve"> cuyo cobro tenga encomendado la Secretaría de Finanzas, cuando el importe del crédito al 31 de diciembre de 201</w:t>
      </w:r>
      <w:r w:rsidR="00013C83" w:rsidRPr="0050382A">
        <w:rPr>
          <w:sz w:val="22"/>
          <w:szCs w:val="22"/>
        </w:rPr>
        <w:t>8</w:t>
      </w:r>
      <w:r w:rsidRPr="0050382A">
        <w:rPr>
          <w:sz w:val="22"/>
          <w:szCs w:val="22"/>
        </w:rPr>
        <w:t xml:space="preserve"> sea inferior o igual al valor diario de ciento treinta y seis Unidades de Medida y Actualización, vigente a la fecha de cancelación, en términos de la Ley para Determinar el Valor de la Unidad de Medida y Actualización. No procederá la cancelación, cuando existan dos o más créditos a cargo de una misma persona y la suma de ellos exceda el valor diario de ciento treinta y seis Unidades de Medida y Actualización, vigente a la fecha de cancelación, ni cuando se trate de créditos derivados del Impuesto sobre Tenencia o Uso de Vehículos Automotores.</w:t>
      </w:r>
    </w:p>
    <w:p w14:paraId="54A04E5E" w14:textId="77777777" w:rsidR="00E11944" w:rsidRPr="00D57FF3" w:rsidRDefault="00E11944" w:rsidP="00F606C2">
      <w:pPr>
        <w:rPr>
          <w:rFonts w:cs="ArialMT"/>
          <w:sz w:val="8"/>
          <w:szCs w:val="8"/>
        </w:rPr>
      </w:pPr>
    </w:p>
    <w:p w14:paraId="24EB51C1" w14:textId="53F276B7" w:rsidR="00E11944" w:rsidRPr="0050382A" w:rsidRDefault="00E11944" w:rsidP="00F606C2">
      <w:pPr>
        <w:rPr>
          <w:rFonts w:cs="ArialMT"/>
          <w:sz w:val="22"/>
          <w:szCs w:val="22"/>
        </w:rPr>
      </w:pPr>
      <w:r w:rsidRPr="0050382A">
        <w:rPr>
          <w:rFonts w:cs="ArialMT"/>
          <w:sz w:val="22"/>
          <w:szCs w:val="22"/>
        </w:rPr>
        <w:lastRenderedPageBreak/>
        <w:t>Asimismo, se faculta a la Secretaría de Finanzas para que lleve a cabo la cancelación de los créditos fiscales estatales cuyo cobro le corresponda efectuar, en los casos en que exista incosteabilidad, imposibilidad práctica de cobro o insolvencia de los deudores, las cuales se determinarán conforme al artículo 45 del Código Financiero del Estado de México y Municipios.</w:t>
      </w:r>
    </w:p>
    <w:p w14:paraId="72AC1846" w14:textId="77777777" w:rsidR="00E11944" w:rsidRPr="00D57FF3" w:rsidRDefault="00E11944" w:rsidP="00F606C2">
      <w:pPr>
        <w:rPr>
          <w:rFonts w:cs="ArialMT"/>
          <w:sz w:val="18"/>
          <w:szCs w:val="18"/>
        </w:rPr>
      </w:pPr>
    </w:p>
    <w:p w14:paraId="4F2C3A5A" w14:textId="56BD70DD" w:rsidR="00E11944" w:rsidRPr="0050382A" w:rsidRDefault="00E11944" w:rsidP="00F606C2">
      <w:pPr>
        <w:rPr>
          <w:rFonts w:cs="ArialMT"/>
          <w:sz w:val="22"/>
          <w:szCs w:val="22"/>
        </w:rPr>
      </w:pPr>
      <w:r w:rsidRPr="0050382A">
        <w:rPr>
          <w:rFonts w:cs="ArialMT"/>
          <w:sz w:val="22"/>
          <w:szCs w:val="22"/>
        </w:rPr>
        <w:t>Se autoriza a la Secretaría de Finanzas para realizar la cancelación y</w:t>
      </w:r>
      <w:r w:rsidR="0095122A" w:rsidRPr="0050382A">
        <w:rPr>
          <w:rFonts w:cs="ArialMT"/>
          <w:sz w:val="22"/>
          <w:szCs w:val="22"/>
        </w:rPr>
        <w:t>,</w:t>
      </w:r>
      <w:r w:rsidRPr="0050382A">
        <w:rPr>
          <w:rFonts w:cs="ArialMT"/>
          <w:sz w:val="22"/>
          <w:szCs w:val="22"/>
        </w:rPr>
        <w:t xml:space="preserve"> en consecuencia</w:t>
      </w:r>
      <w:r w:rsidR="002B2768" w:rsidRPr="0050382A">
        <w:rPr>
          <w:rFonts w:cs="ArialMT"/>
          <w:sz w:val="22"/>
          <w:szCs w:val="22"/>
        </w:rPr>
        <w:t>,</w:t>
      </w:r>
      <w:r w:rsidRPr="0050382A">
        <w:rPr>
          <w:rFonts w:cs="ArialMT"/>
          <w:sz w:val="22"/>
          <w:szCs w:val="22"/>
        </w:rPr>
        <w:t xml:space="preserve"> la extinción de los créditos fiscales derivados del Impuesto sobre Tenencia o Uso de Vehículos y derechos de control vehicular, respecto de los vehículos que, conforme al Código Administrativo</w:t>
      </w:r>
      <w:r w:rsidR="005C1193" w:rsidRPr="0050382A">
        <w:rPr>
          <w:rFonts w:cs="ArialMT"/>
          <w:sz w:val="22"/>
          <w:szCs w:val="22"/>
        </w:rPr>
        <w:t xml:space="preserve"> del Estado de México</w:t>
      </w:r>
      <w:r w:rsidRPr="0050382A">
        <w:rPr>
          <w:rFonts w:cs="ArialMT"/>
          <w:sz w:val="22"/>
          <w:szCs w:val="22"/>
        </w:rPr>
        <w:t>, hayan sido declarados en abandono en favor del Estado.</w:t>
      </w:r>
    </w:p>
    <w:p w14:paraId="6EC77186" w14:textId="77777777" w:rsidR="00E11944" w:rsidRPr="00D57FF3" w:rsidRDefault="00E11944" w:rsidP="00F606C2">
      <w:pPr>
        <w:rPr>
          <w:rFonts w:cs="ArialMT"/>
          <w:sz w:val="18"/>
          <w:szCs w:val="18"/>
        </w:rPr>
      </w:pPr>
    </w:p>
    <w:p w14:paraId="745B11EB" w14:textId="1F3A979C" w:rsidR="00E11944" w:rsidRPr="0050382A" w:rsidRDefault="00E11944" w:rsidP="00F606C2">
      <w:pPr>
        <w:rPr>
          <w:b/>
          <w:sz w:val="22"/>
          <w:szCs w:val="22"/>
        </w:rPr>
      </w:pPr>
      <w:r w:rsidRPr="0050382A">
        <w:rPr>
          <w:sz w:val="22"/>
          <w:szCs w:val="22"/>
        </w:rPr>
        <w:t>La Secretaría de Finanzas, emitirá y publicará en el Periódico Oficial “Gaceta del Gobierno</w:t>
      </w:r>
      <w:r w:rsidR="00920938" w:rsidRPr="0050382A">
        <w:rPr>
          <w:sz w:val="22"/>
          <w:szCs w:val="22"/>
        </w:rPr>
        <w:t>”</w:t>
      </w:r>
      <w:r w:rsidR="00BC488C" w:rsidRPr="0050382A">
        <w:rPr>
          <w:sz w:val="22"/>
          <w:szCs w:val="22"/>
        </w:rPr>
        <w:t>,</w:t>
      </w:r>
      <w:r w:rsidRPr="0050382A">
        <w:rPr>
          <w:sz w:val="22"/>
          <w:szCs w:val="22"/>
        </w:rPr>
        <w:t xml:space="preserve"> las Reglas de Carácter General, necesarias para la debida aplicación de lo dispuesto en este artículo</w:t>
      </w:r>
      <w:r w:rsidRPr="0050382A">
        <w:rPr>
          <w:rFonts w:cs="ArialMT"/>
          <w:b/>
          <w:bCs/>
          <w:sz w:val="22"/>
          <w:szCs w:val="22"/>
        </w:rPr>
        <w:t>.</w:t>
      </w:r>
    </w:p>
    <w:p w14:paraId="64CB6878" w14:textId="77777777" w:rsidR="00E11944" w:rsidRPr="00D57FF3" w:rsidRDefault="00E11944" w:rsidP="00F606C2">
      <w:pPr>
        <w:rPr>
          <w:rFonts w:cs="ArialMT"/>
          <w:b/>
          <w:bCs/>
          <w:sz w:val="18"/>
          <w:szCs w:val="18"/>
        </w:rPr>
      </w:pPr>
    </w:p>
    <w:p w14:paraId="6A73A66C" w14:textId="4BEAB3BC" w:rsidR="00E11944" w:rsidRPr="0050382A" w:rsidRDefault="00E11944" w:rsidP="00F606C2">
      <w:pPr>
        <w:rPr>
          <w:b/>
          <w:bCs/>
          <w:sz w:val="22"/>
          <w:szCs w:val="22"/>
        </w:rPr>
      </w:pPr>
      <w:r w:rsidRPr="0050382A">
        <w:rPr>
          <w:b/>
          <w:bCs/>
          <w:sz w:val="22"/>
          <w:szCs w:val="22"/>
        </w:rPr>
        <w:t>Artículo 1</w:t>
      </w:r>
      <w:r w:rsidR="00BB3247" w:rsidRPr="0050382A">
        <w:rPr>
          <w:b/>
          <w:bCs/>
          <w:sz w:val="22"/>
          <w:szCs w:val="22"/>
        </w:rPr>
        <w:t>9</w:t>
      </w:r>
      <w:r w:rsidRPr="0050382A">
        <w:rPr>
          <w:b/>
          <w:bCs/>
          <w:sz w:val="22"/>
          <w:szCs w:val="22"/>
        </w:rPr>
        <w:t xml:space="preserve">.- </w:t>
      </w:r>
      <w:r w:rsidRPr="0050382A">
        <w:rPr>
          <w:sz w:val="22"/>
          <w:szCs w:val="22"/>
        </w:rPr>
        <w:t xml:space="preserve">Se autoriza al Titular del Ejecutivo Estatal para que por conducto de la Secretaría de Finanzas, durante el </w:t>
      </w:r>
      <w:r w:rsidR="005C1193" w:rsidRPr="0050382A">
        <w:rPr>
          <w:sz w:val="22"/>
          <w:szCs w:val="22"/>
        </w:rPr>
        <w:t>E</w:t>
      </w:r>
      <w:r w:rsidRPr="0050382A">
        <w:rPr>
          <w:sz w:val="22"/>
          <w:szCs w:val="22"/>
        </w:rPr>
        <w:t xml:space="preserve">jercicio </w:t>
      </w:r>
      <w:r w:rsidR="005C1193" w:rsidRPr="0050382A">
        <w:rPr>
          <w:sz w:val="22"/>
          <w:szCs w:val="22"/>
        </w:rPr>
        <w:t>F</w:t>
      </w:r>
      <w:r w:rsidRPr="0050382A">
        <w:rPr>
          <w:sz w:val="22"/>
          <w:szCs w:val="22"/>
        </w:rPr>
        <w:t xml:space="preserve">iscal </w:t>
      </w:r>
      <w:r w:rsidR="009518D1" w:rsidRPr="0050382A">
        <w:rPr>
          <w:sz w:val="22"/>
          <w:szCs w:val="22"/>
        </w:rPr>
        <w:t>2023</w:t>
      </w:r>
      <w:r w:rsidR="009A6809" w:rsidRPr="0050382A">
        <w:rPr>
          <w:sz w:val="22"/>
          <w:szCs w:val="22"/>
        </w:rPr>
        <w:t xml:space="preserve"> </w:t>
      </w:r>
      <w:r w:rsidRPr="0050382A">
        <w:rPr>
          <w:sz w:val="22"/>
          <w:szCs w:val="22"/>
        </w:rPr>
        <w:t>y con base en lo previsto en el artículo 8 del Código Financiero del Estado de México y Municipios, afecte ingresos estatales y</w:t>
      </w:r>
      <w:r w:rsidR="005C1193" w:rsidRPr="0050382A">
        <w:rPr>
          <w:sz w:val="22"/>
          <w:szCs w:val="22"/>
        </w:rPr>
        <w:t>,</w:t>
      </w:r>
      <w:r w:rsidRPr="0050382A">
        <w:rPr>
          <w:sz w:val="22"/>
          <w:szCs w:val="22"/>
        </w:rPr>
        <w:t xml:space="preserve"> en su caso, los que el Gobierno Federal autorice, para dar cumplimiento a los compromisos a cargo del Gobierno del Estado de México en el marco de la Comisión Ejecutiva de Coordinación Metropolitana, previa notificación a la Legislatura</w:t>
      </w:r>
      <w:r w:rsidR="002B2768" w:rsidRPr="0050382A">
        <w:rPr>
          <w:sz w:val="22"/>
          <w:szCs w:val="22"/>
        </w:rPr>
        <w:t xml:space="preserve"> Local</w:t>
      </w:r>
      <w:r w:rsidRPr="0050382A">
        <w:rPr>
          <w:sz w:val="22"/>
          <w:szCs w:val="22"/>
        </w:rPr>
        <w:t xml:space="preserve"> del destino específico de los ingresos estimados.</w:t>
      </w:r>
    </w:p>
    <w:p w14:paraId="71C46D79" w14:textId="77777777" w:rsidR="00E11944" w:rsidRPr="00D57FF3" w:rsidRDefault="00E11944" w:rsidP="00F606C2">
      <w:pPr>
        <w:rPr>
          <w:rFonts w:cs="ArialMT"/>
          <w:color w:val="BFBFBF" w:themeColor="background1" w:themeShade="BF"/>
          <w:sz w:val="18"/>
          <w:szCs w:val="18"/>
        </w:rPr>
      </w:pPr>
    </w:p>
    <w:p w14:paraId="17A8BEE9" w14:textId="681A6A91" w:rsidR="00E11944" w:rsidRPr="0050382A" w:rsidRDefault="00E11944" w:rsidP="00F606C2">
      <w:pPr>
        <w:rPr>
          <w:b/>
          <w:bCs/>
          <w:sz w:val="22"/>
          <w:szCs w:val="22"/>
        </w:rPr>
      </w:pPr>
      <w:r w:rsidRPr="0050382A">
        <w:rPr>
          <w:b/>
          <w:bCs/>
          <w:sz w:val="22"/>
          <w:szCs w:val="22"/>
        </w:rPr>
        <w:t xml:space="preserve">Artículo </w:t>
      </w:r>
      <w:r w:rsidR="00BB3247" w:rsidRPr="0050382A">
        <w:rPr>
          <w:b/>
          <w:bCs/>
          <w:sz w:val="22"/>
          <w:szCs w:val="22"/>
        </w:rPr>
        <w:t>20</w:t>
      </w:r>
      <w:r w:rsidRPr="0050382A">
        <w:rPr>
          <w:b/>
          <w:bCs/>
          <w:sz w:val="22"/>
          <w:szCs w:val="22"/>
        </w:rPr>
        <w:t xml:space="preserve">.- </w:t>
      </w:r>
      <w:r w:rsidRPr="0050382A">
        <w:rPr>
          <w:sz w:val="22"/>
          <w:szCs w:val="22"/>
        </w:rPr>
        <w:t>Se ratifican los convenios que se hayan celebrado entre el Poder Ejecutivo del Estado por una parte y la Federación, Municipios y Organismos Autónomos por la otra, en los cuales se finiquiten adeudos entre ellos, así como los actos administrativos, convenios y acuerdos que haya expedido o en que haya participado el Poder Ejecutivo, derivados del ejercicio de la actividad financiera y/o económica del Estado.</w:t>
      </w:r>
    </w:p>
    <w:p w14:paraId="3FB09F2D" w14:textId="77777777" w:rsidR="00E11944" w:rsidRPr="00D57FF3" w:rsidRDefault="00E11944" w:rsidP="00F606C2">
      <w:pPr>
        <w:rPr>
          <w:rFonts w:cs="ArialMT"/>
          <w:sz w:val="18"/>
          <w:szCs w:val="18"/>
        </w:rPr>
      </w:pPr>
    </w:p>
    <w:p w14:paraId="75D75377" w14:textId="1AD47D80" w:rsidR="00E11944" w:rsidRPr="0050382A" w:rsidRDefault="00E11944" w:rsidP="00F606C2">
      <w:pPr>
        <w:rPr>
          <w:rFonts w:cs="ArialMT"/>
          <w:sz w:val="22"/>
          <w:szCs w:val="22"/>
        </w:rPr>
      </w:pPr>
      <w:r w:rsidRPr="0050382A">
        <w:rPr>
          <w:rFonts w:cs="ArialMT"/>
          <w:sz w:val="22"/>
          <w:szCs w:val="22"/>
        </w:rPr>
        <w:t xml:space="preserve">Asimismo, se ratifican los apoyos financieros a cuenta de </w:t>
      </w:r>
      <w:r w:rsidR="005C1193" w:rsidRPr="0050382A">
        <w:rPr>
          <w:rFonts w:cs="ArialMT"/>
          <w:sz w:val="22"/>
          <w:szCs w:val="22"/>
        </w:rPr>
        <w:t>P</w:t>
      </w:r>
      <w:r w:rsidRPr="0050382A">
        <w:rPr>
          <w:rFonts w:cs="ArialMT"/>
          <w:sz w:val="22"/>
          <w:szCs w:val="22"/>
        </w:rPr>
        <w:t xml:space="preserve">articipaciones otorgados por el Ejecutivo Estatal a los Municipios durante el </w:t>
      </w:r>
      <w:r w:rsidR="005C1193" w:rsidRPr="0050382A">
        <w:rPr>
          <w:rFonts w:cs="ArialMT"/>
          <w:sz w:val="22"/>
          <w:szCs w:val="22"/>
        </w:rPr>
        <w:t>E</w:t>
      </w:r>
      <w:r w:rsidRPr="0050382A">
        <w:rPr>
          <w:rFonts w:cs="ArialMT"/>
          <w:sz w:val="22"/>
          <w:szCs w:val="22"/>
        </w:rPr>
        <w:t xml:space="preserve">jercicio </w:t>
      </w:r>
      <w:r w:rsidR="005C1193" w:rsidRPr="0050382A">
        <w:rPr>
          <w:rFonts w:cs="ArialMT"/>
          <w:sz w:val="22"/>
          <w:szCs w:val="22"/>
        </w:rPr>
        <w:t>F</w:t>
      </w:r>
      <w:r w:rsidRPr="0050382A">
        <w:rPr>
          <w:rFonts w:cs="ArialMT"/>
          <w:sz w:val="22"/>
          <w:szCs w:val="22"/>
        </w:rPr>
        <w:t xml:space="preserve">iscal </w:t>
      </w:r>
      <w:r w:rsidR="007A4719" w:rsidRPr="0050382A">
        <w:rPr>
          <w:rFonts w:cs="ArialMT"/>
          <w:sz w:val="22"/>
          <w:szCs w:val="22"/>
        </w:rPr>
        <w:t>202</w:t>
      </w:r>
      <w:r w:rsidR="005C7C07" w:rsidRPr="0050382A">
        <w:rPr>
          <w:rFonts w:cs="ArialMT"/>
          <w:sz w:val="22"/>
          <w:szCs w:val="22"/>
        </w:rPr>
        <w:t>2</w:t>
      </w:r>
      <w:r w:rsidRPr="0050382A">
        <w:rPr>
          <w:rFonts w:cs="ArialMT"/>
          <w:sz w:val="22"/>
          <w:szCs w:val="22"/>
        </w:rPr>
        <w:t>.</w:t>
      </w:r>
    </w:p>
    <w:p w14:paraId="5A238B1B" w14:textId="77777777" w:rsidR="00316E3D" w:rsidRPr="0050382A" w:rsidRDefault="00316E3D" w:rsidP="00F606C2">
      <w:pPr>
        <w:rPr>
          <w:rFonts w:cs="ArialMT"/>
          <w:sz w:val="22"/>
          <w:szCs w:val="22"/>
        </w:rPr>
      </w:pPr>
    </w:p>
    <w:p w14:paraId="74B8FAE5" w14:textId="77777777" w:rsidR="00E11944" w:rsidRPr="0050382A" w:rsidRDefault="00E11944" w:rsidP="00316E3D">
      <w:pPr>
        <w:jc w:val="center"/>
        <w:rPr>
          <w:b/>
          <w:bCs/>
          <w:sz w:val="22"/>
          <w:szCs w:val="22"/>
        </w:rPr>
      </w:pPr>
      <w:r w:rsidRPr="0050382A">
        <w:rPr>
          <w:b/>
          <w:bCs/>
          <w:sz w:val="22"/>
          <w:szCs w:val="22"/>
        </w:rPr>
        <w:t>TRANSITORIOS</w:t>
      </w:r>
    </w:p>
    <w:p w14:paraId="777E1E85" w14:textId="77777777" w:rsidR="00E11944" w:rsidRPr="0050382A" w:rsidRDefault="00E11944" w:rsidP="00F606C2">
      <w:pPr>
        <w:rPr>
          <w:rFonts w:cs="ArialMT"/>
          <w:b/>
          <w:sz w:val="22"/>
          <w:szCs w:val="22"/>
        </w:rPr>
      </w:pPr>
    </w:p>
    <w:p w14:paraId="3C65D3EB" w14:textId="77777777" w:rsidR="00E11944" w:rsidRPr="0050382A" w:rsidRDefault="00E11944" w:rsidP="00F606C2">
      <w:pPr>
        <w:rPr>
          <w:rFonts w:cs="ArialMT"/>
          <w:sz w:val="22"/>
          <w:szCs w:val="22"/>
        </w:rPr>
      </w:pPr>
      <w:r w:rsidRPr="0050382A">
        <w:rPr>
          <w:rFonts w:cs="ArialMT"/>
          <w:b/>
          <w:sz w:val="22"/>
          <w:szCs w:val="22"/>
        </w:rPr>
        <w:t>PRIMERO.-</w:t>
      </w:r>
      <w:r w:rsidRPr="0050382A">
        <w:rPr>
          <w:rFonts w:cs="ArialMT"/>
          <w:sz w:val="22"/>
          <w:szCs w:val="22"/>
        </w:rPr>
        <w:t xml:space="preserve"> Publíquese la presente Ley en el Periódico Oficial “Gaceta del Gobierno”.</w:t>
      </w:r>
    </w:p>
    <w:p w14:paraId="297FC519" w14:textId="77777777" w:rsidR="00E11944" w:rsidRPr="0050382A" w:rsidRDefault="00E11944" w:rsidP="00F606C2">
      <w:pPr>
        <w:rPr>
          <w:rFonts w:cs="ArialMT"/>
          <w:sz w:val="22"/>
          <w:szCs w:val="22"/>
        </w:rPr>
      </w:pPr>
    </w:p>
    <w:p w14:paraId="25B92B0C" w14:textId="0735F1E3" w:rsidR="00E11944" w:rsidRPr="0050382A" w:rsidRDefault="00E11944" w:rsidP="00F606C2">
      <w:pPr>
        <w:rPr>
          <w:rFonts w:cs="ArialMT"/>
          <w:sz w:val="22"/>
          <w:szCs w:val="22"/>
        </w:rPr>
      </w:pPr>
      <w:r w:rsidRPr="0050382A">
        <w:rPr>
          <w:rFonts w:cs="ArialMT"/>
          <w:b/>
          <w:sz w:val="22"/>
          <w:szCs w:val="22"/>
        </w:rPr>
        <w:t>SEGUNDO.-</w:t>
      </w:r>
      <w:r w:rsidRPr="0050382A">
        <w:rPr>
          <w:rFonts w:cs="ArialMT"/>
          <w:sz w:val="22"/>
          <w:szCs w:val="22"/>
        </w:rPr>
        <w:t xml:space="preserve"> La presente Ley entrará en vigor el día 01 de enero de </w:t>
      </w:r>
      <w:r w:rsidR="009518D1" w:rsidRPr="0050382A">
        <w:rPr>
          <w:rFonts w:cs="ArialMT"/>
          <w:sz w:val="22"/>
          <w:szCs w:val="22"/>
        </w:rPr>
        <w:t>2023</w:t>
      </w:r>
      <w:r w:rsidRPr="0050382A">
        <w:rPr>
          <w:rFonts w:cs="ArialMT"/>
          <w:sz w:val="22"/>
          <w:szCs w:val="22"/>
        </w:rPr>
        <w:t>.</w:t>
      </w:r>
    </w:p>
    <w:p w14:paraId="4BB53277" w14:textId="77777777" w:rsidR="00E11944" w:rsidRPr="0050382A" w:rsidRDefault="00E11944" w:rsidP="00F606C2">
      <w:pPr>
        <w:rPr>
          <w:rFonts w:cs="ArialMT"/>
          <w:sz w:val="22"/>
          <w:szCs w:val="22"/>
        </w:rPr>
      </w:pPr>
    </w:p>
    <w:p w14:paraId="015DE789" w14:textId="77777777" w:rsidR="00E11944" w:rsidRPr="0050382A" w:rsidRDefault="00E11944" w:rsidP="00F606C2">
      <w:pPr>
        <w:rPr>
          <w:rFonts w:cs="ArialMT"/>
          <w:sz w:val="22"/>
          <w:szCs w:val="22"/>
        </w:rPr>
      </w:pPr>
      <w:r w:rsidRPr="0050382A">
        <w:rPr>
          <w:rFonts w:cs="ArialMT"/>
          <w:b/>
          <w:sz w:val="22"/>
          <w:szCs w:val="22"/>
        </w:rPr>
        <w:t>TERCERO.-</w:t>
      </w:r>
      <w:r w:rsidRPr="0050382A">
        <w:rPr>
          <w:rFonts w:cs="ArialMT"/>
          <w:sz w:val="22"/>
          <w:szCs w:val="22"/>
        </w:rPr>
        <w:t xml:space="preserve"> Para efectos de registro en la contabilidad del Gobierno del Estado y para su integración en la Cuenta Pública correspondiente, los ingresos que obtenga el Estado con motivo de la aplicación del Presupuesto de Egresos de la Federación no considerados en el artículo 1 de esta Ley, se registrarán en el fondo de que se trate o bien como otros apoyos federales.</w:t>
      </w:r>
    </w:p>
    <w:p w14:paraId="0A882041" w14:textId="77777777" w:rsidR="00E11944" w:rsidRPr="0050382A" w:rsidRDefault="00E11944" w:rsidP="00F606C2">
      <w:pPr>
        <w:rPr>
          <w:rFonts w:cs="ArialMT"/>
          <w:b/>
          <w:sz w:val="22"/>
          <w:szCs w:val="22"/>
        </w:rPr>
      </w:pPr>
    </w:p>
    <w:p w14:paraId="234A1AE8" w14:textId="77777777" w:rsidR="00E11944" w:rsidRPr="0050382A" w:rsidRDefault="00E11944" w:rsidP="00F606C2">
      <w:pPr>
        <w:rPr>
          <w:rFonts w:cs="ArialMT"/>
          <w:sz w:val="22"/>
          <w:szCs w:val="22"/>
        </w:rPr>
      </w:pPr>
      <w:r w:rsidRPr="0050382A">
        <w:rPr>
          <w:rFonts w:cs="ArialMT"/>
          <w:b/>
          <w:sz w:val="22"/>
          <w:szCs w:val="22"/>
        </w:rPr>
        <w:t>CUARTO.-</w:t>
      </w:r>
      <w:r w:rsidRPr="0050382A">
        <w:rPr>
          <w:rFonts w:cs="ArialMT"/>
          <w:sz w:val="22"/>
          <w:szCs w:val="22"/>
        </w:rPr>
        <w:t xml:space="preserve"> Las referencias que en otras disposiciones, ordenamientos, reglamentos o acuerdos hagan alusión a las Contribuciones o Aportaciones de Mejora, se entenderán a las Contribuciones de Mejora establecidas en esta Ley.</w:t>
      </w:r>
    </w:p>
    <w:p w14:paraId="6CF70B96" w14:textId="77777777" w:rsidR="00E11944" w:rsidRPr="0050382A" w:rsidRDefault="00E11944" w:rsidP="00F606C2">
      <w:pPr>
        <w:rPr>
          <w:rFonts w:cs="ArialMT"/>
          <w:sz w:val="22"/>
          <w:szCs w:val="22"/>
        </w:rPr>
      </w:pPr>
    </w:p>
    <w:p w14:paraId="5C845EC2" w14:textId="56FA4A98" w:rsidR="00E11944" w:rsidRPr="0050382A" w:rsidRDefault="00E11944" w:rsidP="00F606C2">
      <w:pPr>
        <w:rPr>
          <w:rFonts w:cs="ArialMT"/>
          <w:sz w:val="22"/>
          <w:szCs w:val="22"/>
        </w:rPr>
      </w:pPr>
      <w:r w:rsidRPr="0050382A">
        <w:rPr>
          <w:rFonts w:cs="ArialMT"/>
          <w:b/>
          <w:bCs/>
          <w:sz w:val="22"/>
          <w:szCs w:val="22"/>
        </w:rPr>
        <w:t>QUINTO.-</w:t>
      </w:r>
      <w:r w:rsidRPr="0050382A">
        <w:rPr>
          <w:rFonts w:cs="ArialMT"/>
          <w:sz w:val="22"/>
          <w:szCs w:val="22"/>
        </w:rPr>
        <w:t xml:space="preserve"> La Secretaría de Finanzas publicará en el Periódico Oficial “Gaceta del Gobierno” las Reglas de Carácter General a las que se refieren los artículos 3, </w:t>
      </w:r>
      <w:r w:rsidR="00B61631" w:rsidRPr="0050382A">
        <w:rPr>
          <w:rFonts w:cs="ArialMT"/>
          <w:sz w:val="22"/>
          <w:szCs w:val="22"/>
        </w:rPr>
        <w:t xml:space="preserve">4, 9, </w:t>
      </w:r>
      <w:r w:rsidRPr="0050382A">
        <w:rPr>
          <w:rFonts w:cs="ArialMT"/>
          <w:sz w:val="22"/>
          <w:szCs w:val="22"/>
        </w:rPr>
        <w:t>10, 11</w:t>
      </w:r>
      <w:r w:rsidR="00A949CC" w:rsidRPr="0050382A">
        <w:rPr>
          <w:rFonts w:cs="ArialMT"/>
          <w:sz w:val="22"/>
          <w:szCs w:val="22"/>
        </w:rPr>
        <w:t xml:space="preserve"> </w:t>
      </w:r>
      <w:r w:rsidRPr="0050382A">
        <w:rPr>
          <w:rFonts w:cs="ArialMT"/>
          <w:sz w:val="22"/>
          <w:szCs w:val="22"/>
        </w:rPr>
        <w:t xml:space="preserve">y 18 de esta Ley, a más tardar el 9 de febrero de </w:t>
      </w:r>
      <w:r w:rsidR="008C36B6" w:rsidRPr="0050382A">
        <w:rPr>
          <w:rFonts w:cs="ArialMT"/>
          <w:sz w:val="22"/>
          <w:szCs w:val="22"/>
        </w:rPr>
        <w:t>2023</w:t>
      </w:r>
      <w:r w:rsidRPr="0050382A">
        <w:rPr>
          <w:rFonts w:cs="ArialMT"/>
          <w:sz w:val="22"/>
          <w:szCs w:val="22"/>
        </w:rPr>
        <w:t>.</w:t>
      </w:r>
    </w:p>
    <w:p w14:paraId="21EFF5C0" w14:textId="0DB38039" w:rsidR="008C36B6" w:rsidRPr="0050382A" w:rsidRDefault="008C36B6" w:rsidP="00F606C2">
      <w:pPr>
        <w:rPr>
          <w:rFonts w:cs="ArialMT"/>
          <w:sz w:val="22"/>
          <w:szCs w:val="22"/>
        </w:rPr>
      </w:pPr>
    </w:p>
    <w:p w14:paraId="3A4ACA66" w14:textId="50E334FE" w:rsidR="008C36B6" w:rsidRPr="0050382A" w:rsidRDefault="008C36B6" w:rsidP="00F606C2">
      <w:pPr>
        <w:rPr>
          <w:rFonts w:cs="ArialMT"/>
          <w:sz w:val="22"/>
          <w:szCs w:val="22"/>
        </w:rPr>
      </w:pPr>
      <w:r w:rsidRPr="0050382A">
        <w:rPr>
          <w:rFonts w:cs="ArialMT"/>
          <w:sz w:val="22"/>
          <w:szCs w:val="22"/>
        </w:rPr>
        <w:t>Asimismo, la Secretaría de Finanzas</w:t>
      </w:r>
      <w:r w:rsidR="005C1193" w:rsidRPr="0050382A">
        <w:rPr>
          <w:rFonts w:cs="ArialMT"/>
          <w:sz w:val="22"/>
          <w:szCs w:val="22"/>
        </w:rPr>
        <w:t xml:space="preserve"> </w:t>
      </w:r>
      <w:r w:rsidRPr="0050382A">
        <w:rPr>
          <w:rFonts w:cs="ArialMT"/>
          <w:sz w:val="22"/>
          <w:szCs w:val="22"/>
        </w:rPr>
        <w:t>publicará en el Periódico Oficial “Gaceta del Gobierno”, a más tardar el 31 de enero de 2023, las Reglas de Aplicación</w:t>
      </w:r>
      <w:r w:rsidR="005C1193" w:rsidRPr="0050382A">
        <w:rPr>
          <w:rFonts w:cs="ArialMT"/>
          <w:sz w:val="22"/>
          <w:szCs w:val="22"/>
        </w:rPr>
        <w:t xml:space="preserve"> </w:t>
      </w:r>
      <w:r w:rsidRPr="0050382A">
        <w:rPr>
          <w:rFonts w:cs="ArialMT"/>
          <w:sz w:val="22"/>
          <w:szCs w:val="22"/>
        </w:rPr>
        <w:t>a las que hace</w:t>
      </w:r>
      <w:r w:rsidR="004A7C5F" w:rsidRPr="0050382A">
        <w:rPr>
          <w:rFonts w:cs="ArialMT"/>
          <w:sz w:val="22"/>
          <w:szCs w:val="22"/>
        </w:rPr>
        <w:t>n</w:t>
      </w:r>
      <w:r w:rsidRPr="0050382A">
        <w:rPr>
          <w:rFonts w:cs="ArialMT"/>
          <w:sz w:val="22"/>
          <w:szCs w:val="22"/>
        </w:rPr>
        <w:t xml:space="preserve"> referencia los artículos 15</w:t>
      </w:r>
      <w:r w:rsidR="00BB3247" w:rsidRPr="0050382A">
        <w:rPr>
          <w:rFonts w:cs="ArialMT"/>
          <w:sz w:val="22"/>
          <w:szCs w:val="22"/>
        </w:rPr>
        <w:t>,</w:t>
      </w:r>
      <w:r w:rsidRPr="0050382A">
        <w:rPr>
          <w:rFonts w:cs="ArialMT"/>
          <w:sz w:val="22"/>
          <w:szCs w:val="22"/>
        </w:rPr>
        <w:t xml:space="preserve"> 16</w:t>
      </w:r>
      <w:r w:rsidR="00BB3247" w:rsidRPr="0050382A">
        <w:rPr>
          <w:rFonts w:cs="ArialMT"/>
          <w:sz w:val="22"/>
          <w:szCs w:val="22"/>
        </w:rPr>
        <w:t xml:space="preserve"> y 17</w:t>
      </w:r>
      <w:r w:rsidRPr="0050382A">
        <w:rPr>
          <w:rFonts w:cs="ArialMT"/>
          <w:sz w:val="22"/>
          <w:szCs w:val="22"/>
        </w:rPr>
        <w:t xml:space="preserve"> de esta Ley.</w:t>
      </w:r>
    </w:p>
    <w:p w14:paraId="5D3411DD" w14:textId="77777777" w:rsidR="00E11944" w:rsidRPr="0050382A" w:rsidRDefault="00E11944" w:rsidP="00F606C2">
      <w:pPr>
        <w:rPr>
          <w:rFonts w:cs="ArialMT"/>
          <w:color w:val="BFBFBF" w:themeColor="background1" w:themeShade="BF"/>
          <w:sz w:val="22"/>
          <w:szCs w:val="22"/>
        </w:rPr>
      </w:pPr>
    </w:p>
    <w:p w14:paraId="0E0FA8A4" w14:textId="770C0B2F" w:rsidR="00DB3608" w:rsidRPr="0050382A" w:rsidRDefault="00E11944" w:rsidP="00F606C2">
      <w:pPr>
        <w:rPr>
          <w:rFonts w:cs="ArialMT"/>
          <w:sz w:val="22"/>
          <w:szCs w:val="22"/>
        </w:rPr>
      </w:pPr>
      <w:r w:rsidRPr="0050382A">
        <w:rPr>
          <w:rFonts w:cs="ArialMT"/>
          <w:b/>
          <w:bCs/>
          <w:sz w:val="22"/>
          <w:szCs w:val="22"/>
        </w:rPr>
        <w:t xml:space="preserve">SEXTO.- </w:t>
      </w:r>
      <w:r w:rsidRPr="0050382A">
        <w:rPr>
          <w:rFonts w:cs="ArialMT"/>
          <w:sz w:val="22"/>
          <w:szCs w:val="22"/>
        </w:rPr>
        <w:t xml:space="preserve">En el caso de que las </w:t>
      </w:r>
      <w:r w:rsidR="00C66D89" w:rsidRPr="0050382A">
        <w:rPr>
          <w:rFonts w:cs="ArialMT"/>
          <w:sz w:val="22"/>
          <w:szCs w:val="22"/>
        </w:rPr>
        <w:t>E</w:t>
      </w:r>
      <w:r w:rsidRPr="0050382A">
        <w:rPr>
          <w:rFonts w:cs="ArialMT"/>
          <w:sz w:val="22"/>
          <w:szCs w:val="22"/>
        </w:rPr>
        <w:t xml:space="preserve">ntidades </w:t>
      </w:r>
      <w:r w:rsidR="00C66D89" w:rsidRPr="0050382A">
        <w:rPr>
          <w:rFonts w:cs="ArialMT"/>
          <w:sz w:val="22"/>
          <w:szCs w:val="22"/>
        </w:rPr>
        <w:t>P</w:t>
      </w:r>
      <w:r w:rsidRPr="0050382A">
        <w:rPr>
          <w:rFonts w:cs="ArialMT"/>
          <w:sz w:val="22"/>
          <w:szCs w:val="22"/>
        </w:rPr>
        <w:t>úblicas no suscriban los convenios a que refiere el artículo 3 segundo párrafo de esta Ley en el plazo establecido para tal efecto</w:t>
      </w:r>
      <w:r w:rsidR="002777E0" w:rsidRPr="0050382A">
        <w:rPr>
          <w:rFonts w:cs="ArialMT"/>
          <w:sz w:val="22"/>
          <w:szCs w:val="22"/>
        </w:rPr>
        <w:t>,</w:t>
      </w:r>
      <w:r w:rsidRPr="0050382A">
        <w:rPr>
          <w:rFonts w:cs="ArialMT"/>
          <w:sz w:val="22"/>
          <w:szCs w:val="22"/>
        </w:rPr>
        <w:t xml:space="preserve"> se impondrá al servidor público titular de la </w:t>
      </w:r>
      <w:r w:rsidR="001C5560" w:rsidRPr="0050382A">
        <w:rPr>
          <w:rFonts w:cs="ArialMT"/>
          <w:sz w:val="22"/>
          <w:szCs w:val="22"/>
        </w:rPr>
        <w:t>E</w:t>
      </w:r>
      <w:r w:rsidRPr="0050382A">
        <w:rPr>
          <w:rFonts w:cs="ArialMT"/>
          <w:sz w:val="22"/>
          <w:szCs w:val="22"/>
        </w:rPr>
        <w:t xml:space="preserve">ntidad </w:t>
      </w:r>
      <w:r w:rsidR="001C5560" w:rsidRPr="0050382A">
        <w:rPr>
          <w:rFonts w:cs="ArialMT"/>
          <w:sz w:val="22"/>
          <w:szCs w:val="22"/>
        </w:rPr>
        <w:t>P</w:t>
      </w:r>
      <w:r w:rsidRPr="0050382A">
        <w:rPr>
          <w:rFonts w:cs="ArialMT"/>
          <w:sz w:val="22"/>
          <w:szCs w:val="22"/>
        </w:rPr>
        <w:t>ública, sanción pecuniaria consistente de quince veces el valor diario a seis veces el valor mensual de la Unidad de Medida y Actualización vigente.</w:t>
      </w:r>
    </w:p>
    <w:p w14:paraId="2BAAA118" w14:textId="77777777" w:rsidR="0067695F" w:rsidRDefault="0067695F" w:rsidP="009B7596">
      <w:pPr>
        <w:autoSpaceDE w:val="0"/>
        <w:autoSpaceDN w:val="0"/>
        <w:adjustRightInd w:val="0"/>
        <w:rPr>
          <w:rFonts w:cs="ArialMT"/>
        </w:rPr>
        <w:sectPr w:rsidR="0067695F" w:rsidSect="00650F9E">
          <w:footerReference w:type="default" r:id="rId8"/>
          <w:footerReference w:type="first" r:id="rId9"/>
          <w:pgSz w:w="12240" w:h="15840" w:code="1"/>
          <w:pgMar w:top="1701" w:right="1701" w:bottom="1985" w:left="1701" w:header="851" w:footer="1588" w:gutter="0"/>
          <w:cols w:space="708"/>
          <w:titlePg/>
          <w:docGrid w:linePitch="360"/>
        </w:sectPr>
      </w:pPr>
    </w:p>
    <w:p w14:paraId="0878EA24" w14:textId="64D909FA" w:rsidR="00BC488C" w:rsidRPr="00E84DBE" w:rsidRDefault="00BC488C">
      <w:pPr>
        <w:spacing w:after="160"/>
        <w:jc w:val="left"/>
        <w:rPr>
          <w:rFonts w:cs="ArialMT"/>
        </w:rPr>
      </w:pPr>
    </w:p>
    <w:bookmarkEnd w:id="2"/>
    <w:p w14:paraId="285E268F" w14:textId="33E4F1C8" w:rsidR="003E1E08" w:rsidRPr="00E84DBE" w:rsidRDefault="003E1E08" w:rsidP="003E1E08">
      <w:pPr>
        <w:ind w:left="5670"/>
        <w:rPr>
          <w:sz w:val="16"/>
          <w:szCs w:val="16"/>
        </w:rPr>
      </w:pPr>
      <w:r w:rsidRPr="00E84DBE">
        <w:rPr>
          <w:sz w:val="16"/>
          <w:szCs w:val="16"/>
          <w:lang w:val="es-ES_tradnl"/>
        </w:rPr>
        <w:t xml:space="preserve">HOJA DE FIRMA DE LA </w:t>
      </w:r>
      <w:r w:rsidRPr="00E84DBE">
        <w:rPr>
          <w:sz w:val="16"/>
          <w:szCs w:val="16"/>
        </w:rPr>
        <w:t xml:space="preserve">INICIATIVA DE </w:t>
      </w:r>
      <w:r w:rsidR="00737C1C" w:rsidRPr="00E84DBE">
        <w:rPr>
          <w:sz w:val="16"/>
          <w:szCs w:val="16"/>
        </w:rPr>
        <w:t xml:space="preserve">DECRETO POR EL QUE SE EXPIDE LA </w:t>
      </w:r>
      <w:r w:rsidRPr="00E84DBE">
        <w:rPr>
          <w:sz w:val="16"/>
          <w:szCs w:val="16"/>
        </w:rPr>
        <w:t xml:space="preserve">LEY DE INGRESOS DEL ESTADO DE MÉXICO PARA EL EJERCICIO FISCAL </w:t>
      </w:r>
      <w:r w:rsidR="006C6976" w:rsidRPr="00E84DBE">
        <w:rPr>
          <w:sz w:val="16"/>
          <w:szCs w:val="16"/>
        </w:rPr>
        <w:t>2023</w:t>
      </w:r>
      <w:r w:rsidRPr="00E84DBE">
        <w:rPr>
          <w:sz w:val="16"/>
          <w:szCs w:val="16"/>
        </w:rPr>
        <w:t>.</w:t>
      </w:r>
    </w:p>
    <w:p w14:paraId="481FB431" w14:textId="77777777" w:rsidR="007400B3" w:rsidRPr="00E84DBE" w:rsidRDefault="007400B3" w:rsidP="00074AD8">
      <w:pPr>
        <w:rPr>
          <w:color w:val="BFBFBF" w:themeColor="background1" w:themeShade="BF"/>
        </w:rPr>
      </w:pPr>
    </w:p>
    <w:p w14:paraId="3D12BD0B" w14:textId="6AF3C68E" w:rsidR="00C40B3E" w:rsidRPr="00E84DBE" w:rsidRDefault="00C40B3E" w:rsidP="004A7C5F">
      <w:pPr>
        <w:spacing w:after="160"/>
        <w:jc w:val="left"/>
      </w:pPr>
    </w:p>
    <w:p w14:paraId="1940EDE9" w14:textId="73D3176E" w:rsidR="00737C1C" w:rsidRPr="00E84DBE" w:rsidRDefault="00737C1C">
      <w:pPr>
        <w:spacing w:after="160"/>
        <w:jc w:val="left"/>
      </w:pPr>
      <w:r w:rsidRPr="00E84DBE">
        <w:t>Reitero a usted, la seguridad de mi atenta y distinguida consideración.</w:t>
      </w:r>
    </w:p>
    <w:p w14:paraId="27B65754" w14:textId="77777777" w:rsidR="00737C1C" w:rsidRPr="00E84DBE" w:rsidRDefault="00737C1C">
      <w:pPr>
        <w:spacing w:after="160"/>
        <w:jc w:val="left"/>
      </w:pPr>
    </w:p>
    <w:p w14:paraId="1910DBA8" w14:textId="55B58169" w:rsidR="00231A48" w:rsidRPr="00E84DBE" w:rsidRDefault="00231A48" w:rsidP="00074AD8">
      <w:r w:rsidRPr="00E84DBE">
        <w:t xml:space="preserve">Palacio del Poder Ejecutivo, en la </w:t>
      </w:r>
      <w:r w:rsidR="00737C1C" w:rsidRPr="00E84DBE">
        <w:t>c</w:t>
      </w:r>
      <w:r w:rsidRPr="00E84DBE">
        <w:t>iudad de Toluca de Lerdo, capital del Estado de México, a los</w:t>
      </w:r>
      <w:r w:rsidR="008C36B6" w:rsidRPr="00E84DBE">
        <w:t xml:space="preserve"> </w:t>
      </w:r>
      <w:r w:rsidR="002777E0" w:rsidRPr="00E84DBE">
        <w:t>dieciocho</w:t>
      </w:r>
      <w:r w:rsidR="003E1E08" w:rsidRPr="00E84DBE">
        <w:t xml:space="preserve"> </w:t>
      </w:r>
      <w:r w:rsidRPr="00E84DBE">
        <w:t xml:space="preserve">días del mes </w:t>
      </w:r>
      <w:r w:rsidR="00860928" w:rsidRPr="00E84DBE">
        <w:t xml:space="preserve">de </w:t>
      </w:r>
      <w:r w:rsidR="008C36B6" w:rsidRPr="00E84DBE">
        <w:t xml:space="preserve">noviembre </w:t>
      </w:r>
      <w:r w:rsidRPr="00E84DBE">
        <w:t xml:space="preserve">de dos mil </w:t>
      </w:r>
      <w:r w:rsidR="006C6976" w:rsidRPr="00E84DBE">
        <w:t>veintidós</w:t>
      </w:r>
      <w:r w:rsidRPr="00E84DBE">
        <w:t>.</w:t>
      </w:r>
    </w:p>
    <w:p w14:paraId="36C778CD" w14:textId="77777777" w:rsidR="00231A48" w:rsidRPr="00E84DBE" w:rsidRDefault="00231A48" w:rsidP="00074AD8"/>
    <w:p w14:paraId="1D720FDD" w14:textId="77777777" w:rsidR="00231A48" w:rsidRPr="00E84DBE" w:rsidRDefault="00231A48" w:rsidP="00B13364">
      <w:pPr>
        <w:jc w:val="center"/>
        <w:rPr>
          <w:b/>
          <w:bCs/>
        </w:rPr>
      </w:pPr>
      <w:r w:rsidRPr="00E84DBE">
        <w:rPr>
          <w:b/>
          <w:bCs/>
        </w:rPr>
        <w:t>EL GOBERNADOR CONSTITUCIONAL</w:t>
      </w:r>
    </w:p>
    <w:p w14:paraId="3BD75E63" w14:textId="77777777" w:rsidR="00231A48" w:rsidRPr="00E84DBE" w:rsidRDefault="00231A48" w:rsidP="00B13364">
      <w:pPr>
        <w:jc w:val="center"/>
        <w:rPr>
          <w:b/>
          <w:bCs/>
        </w:rPr>
      </w:pPr>
      <w:r w:rsidRPr="00E84DBE">
        <w:rPr>
          <w:b/>
          <w:bCs/>
        </w:rPr>
        <w:t>DEL ESTADO DE MÉXICO</w:t>
      </w:r>
    </w:p>
    <w:p w14:paraId="504CD248" w14:textId="77777777" w:rsidR="00231A48" w:rsidRPr="00E84DBE" w:rsidRDefault="00231A48" w:rsidP="00B13364">
      <w:pPr>
        <w:jc w:val="center"/>
        <w:rPr>
          <w:b/>
          <w:bCs/>
        </w:rPr>
      </w:pPr>
    </w:p>
    <w:p w14:paraId="2E2BF796" w14:textId="77777777" w:rsidR="00231A48" w:rsidRPr="00E84DBE" w:rsidRDefault="00231A48" w:rsidP="00B13364">
      <w:pPr>
        <w:jc w:val="center"/>
        <w:rPr>
          <w:b/>
          <w:bCs/>
        </w:rPr>
      </w:pPr>
    </w:p>
    <w:p w14:paraId="67C610C1" w14:textId="77777777" w:rsidR="00231A48" w:rsidRPr="00E84DBE" w:rsidRDefault="00231A48" w:rsidP="00B13364">
      <w:pPr>
        <w:jc w:val="center"/>
        <w:rPr>
          <w:b/>
          <w:bCs/>
        </w:rPr>
      </w:pPr>
    </w:p>
    <w:p w14:paraId="347D9F18" w14:textId="77777777" w:rsidR="00231A48" w:rsidRPr="00E84DBE" w:rsidRDefault="00231A48" w:rsidP="00B13364">
      <w:pPr>
        <w:jc w:val="center"/>
        <w:rPr>
          <w:b/>
          <w:bCs/>
        </w:rPr>
      </w:pPr>
    </w:p>
    <w:p w14:paraId="524D3389" w14:textId="77777777" w:rsidR="00231A48" w:rsidRPr="00E84DBE" w:rsidRDefault="00231A48" w:rsidP="00B13364">
      <w:pPr>
        <w:jc w:val="center"/>
        <w:rPr>
          <w:rFonts w:eastAsia="MS Mincho" w:cs="Arial"/>
          <w:b/>
          <w:bCs/>
        </w:rPr>
      </w:pPr>
      <w:r w:rsidRPr="00E84DBE">
        <w:rPr>
          <w:b/>
          <w:bCs/>
        </w:rPr>
        <w:t>LIC. ALFREDO DEL MAZO MAZA</w:t>
      </w:r>
    </w:p>
    <w:p w14:paraId="76BEE41C" w14:textId="77777777" w:rsidR="00231A48" w:rsidRPr="00E84DBE" w:rsidRDefault="00231A48" w:rsidP="00074AD8"/>
    <w:p w14:paraId="1442021B" w14:textId="77777777" w:rsidR="00231A48" w:rsidRPr="00E84DBE" w:rsidRDefault="00231A48" w:rsidP="00074AD8">
      <w:pPr>
        <w:rPr>
          <w:color w:val="BFBFBF" w:themeColor="background1" w:themeShade="BF"/>
        </w:rPr>
      </w:pPr>
    </w:p>
    <w:p w14:paraId="43578A12" w14:textId="77777777" w:rsidR="00231A48" w:rsidRPr="00E84DBE" w:rsidRDefault="00231A48" w:rsidP="00074AD8">
      <w:pPr>
        <w:rPr>
          <w:color w:val="BFBFBF" w:themeColor="background1" w:themeShade="BF"/>
        </w:rPr>
      </w:pPr>
    </w:p>
    <w:p w14:paraId="10589A3A" w14:textId="7F8FCFFA" w:rsidR="00231A48" w:rsidRPr="00E84DBE" w:rsidRDefault="00231A48" w:rsidP="00074AD8">
      <w:r w:rsidRPr="00E84DBE">
        <w:t>*REA</w:t>
      </w:r>
      <w:r w:rsidR="00B257F5">
        <w:t xml:space="preserve">   </w:t>
      </w:r>
    </w:p>
    <w:p w14:paraId="01931AA4" w14:textId="77777777" w:rsidR="00737C1C" w:rsidRPr="00E84DBE" w:rsidRDefault="00737C1C" w:rsidP="00074AD8"/>
    <w:p w14:paraId="0371C306" w14:textId="77777777" w:rsidR="00737C1C" w:rsidRPr="00E84DBE" w:rsidRDefault="00737C1C" w:rsidP="00074AD8"/>
    <w:p w14:paraId="3E536E8F" w14:textId="77777777" w:rsidR="00737C1C" w:rsidRPr="00E84DBE" w:rsidRDefault="00737C1C" w:rsidP="00074AD8"/>
    <w:p w14:paraId="21C53DD3" w14:textId="77777777" w:rsidR="00737C1C" w:rsidRPr="00E84DBE" w:rsidRDefault="00737C1C" w:rsidP="00074AD8"/>
    <w:p w14:paraId="26E18206" w14:textId="77777777" w:rsidR="00737C1C" w:rsidRPr="00E84DBE" w:rsidRDefault="00737C1C" w:rsidP="00074AD8"/>
    <w:p w14:paraId="3445E6C3" w14:textId="77777777" w:rsidR="00737C1C" w:rsidRPr="00E84DBE" w:rsidRDefault="00737C1C" w:rsidP="00074AD8"/>
    <w:p w14:paraId="78B2A4B9" w14:textId="77777777" w:rsidR="00737C1C" w:rsidRPr="00E84DBE" w:rsidRDefault="00737C1C" w:rsidP="00074AD8"/>
    <w:p w14:paraId="78663DE5" w14:textId="77777777" w:rsidR="00737C1C" w:rsidRPr="00E84DBE" w:rsidRDefault="00737C1C" w:rsidP="00074AD8"/>
    <w:p w14:paraId="05618197" w14:textId="77777777" w:rsidR="00737C1C" w:rsidRPr="00E84DBE" w:rsidRDefault="00737C1C" w:rsidP="00074AD8"/>
    <w:p w14:paraId="08B53A07" w14:textId="77777777" w:rsidR="00737C1C" w:rsidRPr="00E84DBE" w:rsidRDefault="00737C1C" w:rsidP="00074AD8"/>
    <w:p w14:paraId="322153B3" w14:textId="292C563A" w:rsidR="00B13364" w:rsidRDefault="00B13364">
      <w:pPr>
        <w:spacing w:after="160"/>
        <w:jc w:val="left"/>
      </w:pPr>
      <w:r w:rsidRPr="00E84DBE">
        <w:br w:type="page"/>
      </w:r>
    </w:p>
    <w:p w14:paraId="5D4B0A22" w14:textId="77777777" w:rsidR="00B13364" w:rsidRPr="0050382A" w:rsidRDefault="00B13364" w:rsidP="00B7427D">
      <w:pPr>
        <w:pStyle w:val="Ttulo2"/>
        <w:spacing w:before="0"/>
        <w:jc w:val="center"/>
        <w:rPr>
          <w:b/>
          <w:bCs/>
          <w:sz w:val="22"/>
          <w:szCs w:val="22"/>
        </w:rPr>
      </w:pPr>
      <w:r w:rsidRPr="0050382A">
        <w:rPr>
          <w:b/>
          <w:bCs/>
          <w:sz w:val="22"/>
          <w:szCs w:val="22"/>
        </w:rPr>
        <w:lastRenderedPageBreak/>
        <w:t>ANEXO</w:t>
      </w:r>
      <w:r w:rsidRPr="0050382A">
        <w:rPr>
          <w:sz w:val="22"/>
          <w:szCs w:val="22"/>
        </w:rPr>
        <w:t xml:space="preserve"> </w:t>
      </w:r>
      <w:r w:rsidRPr="0050382A">
        <w:rPr>
          <w:b/>
          <w:bCs/>
          <w:sz w:val="22"/>
          <w:szCs w:val="22"/>
        </w:rPr>
        <w:t>ÚNICO</w:t>
      </w:r>
    </w:p>
    <w:p w14:paraId="22D0B3BD" w14:textId="079F5360" w:rsidR="00B13364" w:rsidRPr="0050382A" w:rsidRDefault="00B13364" w:rsidP="00F6630D">
      <w:pPr>
        <w:jc w:val="center"/>
        <w:rPr>
          <w:b/>
          <w:bCs/>
          <w:sz w:val="22"/>
          <w:szCs w:val="22"/>
        </w:rPr>
      </w:pPr>
      <w:r w:rsidRPr="0050382A">
        <w:rPr>
          <w:b/>
          <w:bCs/>
          <w:sz w:val="22"/>
          <w:szCs w:val="22"/>
        </w:rPr>
        <w:t>PROYECCIONES Y RESULTADOS DE INGRESOS-LDF</w:t>
      </w:r>
    </w:p>
    <w:p w14:paraId="064E344A" w14:textId="77777777" w:rsidR="001077E0" w:rsidRPr="0050382A" w:rsidRDefault="001077E0" w:rsidP="00F6630D">
      <w:pPr>
        <w:jc w:val="center"/>
        <w:rPr>
          <w:b/>
          <w:bCs/>
          <w:sz w:val="12"/>
          <w:szCs w:val="12"/>
        </w:rPr>
      </w:pPr>
    </w:p>
    <w:p w14:paraId="74580BFD" w14:textId="77777777" w:rsidR="00CB04CD" w:rsidRPr="00E84DBE" w:rsidRDefault="00CB04CD" w:rsidP="00CB04CD">
      <w:pPr>
        <w:jc w:val="center"/>
        <w:rPr>
          <w:b/>
          <w:bCs/>
          <w:sz w:val="20"/>
          <w:szCs w:val="20"/>
        </w:rPr>
      </w:pPr>
      <w:r w:rsidRPr="00E84DBE">
        <w:rPr>
          <w:b/>
          <w:bCs/>
          <w:sz w:val="20"/>
          <w:szCs w:val="20"/>
        </w:rPr>
        <w:t>Formato 7 c) Resultados de Ingresos-LDF</w:t>
      </w:r>
    </w:p>
    <w:p w14:paraId="70D0EA89" w14:textId="77777777" w:rsidR="00CB04CD" w:rsidRPr="00E84DBE" w:rsidRDefault="00CB04CD" w:rsidP="00CB04CD">
      <w:pPr>
        <w:jc w:val="center"/>
        <w:rPr>
          <w:b/>
          <w:bCs/>
          <w:sz w:val="20"/>
          <w:szCs w:val="20"/>
        </w:rPr>
      </w:pPr>
      <w:r w:rsidRPr="00E84DBE">
        <w:rPr>
          <w:b/>
          <w:bCs/>
          <w:sz w:val="20"/>
          <w:szCs w:val="20"/>
        </w:rPr>
        <w:t xml:space="preserve"> </w:t>
      </w:r>
    </w:p>
    <w:tbl>
      <w:tblPr>
        <w:tblW w:w="5781" w:type="pct"/>
        <w:tblInd w:w="-714" w:type="dxa"/>
        <w:tblCellMar>
          <w:left w:w="70" w:type="dxa"/>
          <w:right w:w="70" w:type="dxa"/>
        </w:tblCellMar>
        <w:tblLook w:val="04A0" w:firstRow="1" w:lastRow="0" w:firstColumn="1" w:lastColumn="0" w:noHBand="0" w:noVBand="1"/>
      </w:tblPr>
      <w:tblGrid>
        <w:gridCol w:w="257"/>
        <w:gridCol w:w="286"/>
        <w:gridCol w:w="2367"/>
        <w:gridCol w:w="1191"/>
        <w:gridCol w:w="1191"/>
        <w:gridCol w:w="1191"/>
        <w:gridCol w:w="1191"/>
        <w:gridCol w:w="1304"/>
        <w:gridCol w:w="1402"/>
      </w:tblGrid>
      <w:tr w:rsidR="00CB04CD" w:rsidRPr="00E84DBE" w14:paraId="52D89962" w14:textId="77777777" w:rsidTr="00CB04CD">
        <w:trPr>
          <w:trHeight w:val="20"/>
        </w:trPr>
        <w:tc>
          <w:tcPr>
            <w:tcW w:w="5000" w:type="pct"/>
            <w:gridSpan w:val="9"/>
            <w:tcBorders>
              <w:top w:val="single" w:sz="4" w:space="0" w:color="auto"/>
              <w:left w:val="single" w:sz="4" w:space="0" w:color="auto"/>
              <w:bottom w:val="nil"/>
              <w:right w:val="single" w:sz="4" w:space="0" w:color="000000"/>
            </w:tcBorders>
            <w:shd w:val="clear" w:color="auto" w:fill="D9D9D9"/>
            <w:noWrap/>
            <w:hideMark/>
          </w:tcPr>
          <w:p w14:paraId="19C26CE7"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ESTADO DE MÉXICO</w:t>
            </w:r>
          </w:p>
        </w:tc>
      </w:tr>
      <w:tr w:rsidR="00CB04CD" w:rsidRPr="00E84DBE" w14:paraId="259C50AF" w14:textId="77777777" w:rsidTr="00CB04CD">
        <w:trPr>
          <w:trHeight w:val="20"/>
        </w:trPr>
        <w:tc>
          <w:tcPr>
            <w:tcW w:w="5000" w:type="pct"/>
            <w:gridSpan w:val="9"/>
            <w:tcBorders>
              <w:top w:val="nil"/>
              <w:left w:val="single" w:sz="4" w:space="0" w:color="auto"/>
              <w:bottom w:val="nil"/>
              <w:right w:val="single" w:sz="4" w:space="0" w:color="000000"/>
            </w:tcBorders>
            <w:shd w:val="clear" w:color="auto" w:fill="D9D9D9"/>
            <w:noWrap/>
            <w:hideMark/>
          </w:tcPr>
          <w:p w14:paraId="5A8118AB"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Resultados de Ingresos - LDF</w:t>
            </w:r>
          </w:p>
        </w:tc>
      </w:tr>
      <w:tr w:rsidR="00CB04CD" w:rsidRPr="00E84DBE" w14:paraId="5FA9FC31" w14:textId="77777777" w:rsidTr="00CB04CD">
        <w:trPr>
          <w:trHeight w:val="20"/>
        </w:trPr>
        <w:tc>
          <w:tcPr>
            <w:tcW w:w="5000" w:type="pct"/>
            <w:gridSpan w:val="9"/>
            <w:tcBorders>
              <w:top w:val="nil"/>
              <w:left w:val="single" w:sz="4" w:space="0" w:color="auto"/>
              <w:bottom w:val="single" w:sz="4" w:space="0" w:color="auto"/>
              <w:right w:val="single" w:sz="4" w:space="0" w:color="000000"/>
            </w:tcBorders>
            <w:shd w:val="clear" w:color="auto" w:fill="D9D9D9"/>
            <w:noWrap/>
            <w:hideMark/>
          </w:tcPr>
          <w:p w14:paraId="78D00703"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(PESOS)</w:t>
            </w:r>
          </w:p>
        </w:tc>
      </w:tr>
      <w:tr w:rsidR="00CB04CD" w:rsidRPr="00E84DBE" w14:paraId="247C842E" w14:textId="77777777" w:rsidTr="00CB04CD">
        <w:trPr>
          <w:trHeight w:val="20"/>
        </w:trPr>
        <w:tc>
          <w:tcPr>
            <w:tcW w:w="1458"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CD89E"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Concepto</w:t>
            </w:r>
          </w:p>
        </w:tc>
        <w:tc>
          <w:tcPr>
            <w:tcW w:w="423" w:type="pct"/>
            <w:tcBorders>
              <w:top w:val="single" w:sz="4" w:space="0" w:color="auto"/>
              <w:left w:val="nil"/>
              <w:bottom w:val="single" w:sz="4" w:space="0" w:color="auto"/>
              <w:right w:val="single" w:sz="4" w:space="0" w:color="auto"/>
            </w:tcBorders>
            <w:shd w:val="clear" w:color="auto" w:fill="D9D9D9"/>
            <w:vAlign w:val="center"/>
            <w:hideMark/>
          </w:tcPr>
          <w:p w14:paraId="144EDFB2"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2017 </w:t>
            </w:r>
            <w:r w:rsidRPr="00E84DBE">
              <w:rPr>
                <w:rFonts w:eastAsia="Times New Roman" w:cs="Arial"/>
                <w:b/>
                <w:bCs/>
                <w:color w:val="000000"/>
                <w:sz w:val="14"/>
                <w:szCs w:val="14"/>
                <w:vertAlign w:val="superscript"/>
                <w:lang w:eastAsia="es-MX"/>
              </w:rPr>
              <w:t>1</w:t>
            </w:r>
          </w:p>
        </w:tc>
        <w:tc>
          <w:tcPr>
            <w:tcW w:w="584" w:type="pct"/>
            <w:tcBorders>
              <w:top w:val="single" w:sz="4" w:space="0" w:color="auto"/>
              <w:left w:val="nil"/>
              <w:bottom w:val="single" w:sz="4" w:space="0" w:color="auto"/>
              <w:right w:val="single" w:sz="4" w:space="0" w:color="auto"/>
            </w:tcBorders>
            <w:shd w:val="clear" w:color="auto" w:fill="D9D9D9"/>
            <w:vAlign w:val="center"/>
            <w:hideMark/>
          </w:tcPr>
          <w:p w14:paraId="30E86F48"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2018 </w:t>
            </w:r>
            <w:r w:rsidRPr="00E84DBE">
              <w:rPr>
                <w:rFonts w:eastAsia="Times New Roman" w:cs="Arial"/>
                <w:b/>
                <w:bCs/>
                <w:color w:val="000000"/>
                <w:sz w:val="14"/>
                <w:szCs w:val="14"/>
                <w:vertAlign w:val="superscript"/>
                <w:lang w:eastAsia="es-MX"/>
              </w:rPr>
              <w:t>1</w:t>
            </w:r>
          </w:p>
        </w:tc>
        <w:tc>
          <w:tcPr>
            <w:tcW w:w="584" w:type="pct"/>
            <w:tcBorders>
              <w:top w:val="single" w:sz="4" w:space="0" w:color="auto"/>
              <w:left w:val="nil"/>
              <w:bottom w:val="single" w:sz="4" w:space="0" w:color="auto"/>
              <w:right w:val="single" w:sz="4" w:space="0" w:color="auto"/>
            </w:tcBorders>
            <w:shd w:val="clear" w:color="auto" w:fill="D9D9D9"/>
            <w:vAlign w:val="center"/>
            <w:hideMark/>
          </w:tcPr>
          <w:p w14:paraId="6001D8CC"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2019 </w:t>
            </w:r>
            <w:r w:rsidRPr="00E84DBE">
              <w:rPr>
                <w:rFonts w:eastAsia="Times New Roman" w:cs="Arial"/>
                <w:b/>
                <w:bCs/>
                <w:color w:val="000000"/>
                <w:sz w:val="14"/>
                <w:szCs w:val="14"/>
                <w:vertAlign w:val="superscript"/>
                <w:lang w:eastAsia="es-MX"/>
              </w:rPr>
              <w:t>1</w:t>
            </w:r>
          </w:p>
        </w:tc>
        <w:tc>
          <w:tcPr>
            <w:tcW w:w="584" w:type="pct"/>
            <w:tcBorders>
              <w:top w:val="single" w:sz="4" w:space="0" w:color="auto"/>
              <w:left w:val="nil"/>
              <w:bottom w:val="single" w:sz="4" w:space="0" w:color="auto"/>
              <w:right w:val="single" w:sz="4" w:space="0" w:color="auto"/>
            </w:tcBorders>
            <w:shd w:val="clear" w:color="auto" w:fill="D9D9D9"/>
            <w:vAlign w:val="center"/>
            <w:hideMark/>
          </w:tcPr>
          <w:p w14:paraId="41E6FA6D"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2020 </w:t>
            </w:r>
            <w:r w:rsidRPr="00E84DBE">
              <w:rPr>
                <w:rFonts w:eastAsia="Times New Roman" w:cs="Arial"/>
                <w:b/>
                <w:bCs/>
                <w:color w:val="000000"/>
                <w:sz w:val="14"/>
                <w:szCs w:val="14"/>
                <w:vertAlign w:val="superscript"/>
                <w:lang w:eastAsia="es-MX"/>
              </w:rPr>
              <w:t>1</w:t>
            </w:r>
          </w:p>
        </w:tc>
        <w:tc>
          <w:tcPr>
            <w:tcW w:w="673" w:type="pct"/>
            <w:tcBorders>
              <w:top w:val="single" w:sz="4" w:space="0" w:color="auto"/>
              <w:left w:val="nil"/>
              <w:bottom w:val="single" w:sz="4" w:space="0" w:color="auto"/>
              <w:right w:val="single" w:sz="4" w:space="0" w:color="auto"/>
            </w:tcBorders>
            <w:shd w:val="clear" w:color="auto" w:fill="D9D9D9"/>
            <w:vAlign w:val="center"/>
            <w:hideMark/>
          </w:tcPr>
          <w:p w14:paraId="55220C27"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2021 </w:t>
            </w:r>
            <w:r w:rsidRPr="00E84DBE">
              <w:rPr>
                <w:rFonts w:eastAsia="Times New Roman" w:cs="Arial"/>
                <w:b/>
                <w:bCs/>
                <w:color w:val="000000"/>
                <w:sz w:val="14"/>
                <w:szCs w:val="14"/>
                <w:vertAlign w:val="superscript"/>
                <w:lang w:eastAsia="es-MX"/>
              </w:rPr>
              <w:t>1</w:t>
            </w:r>
          </w:p>
        </w:tc>
        <w:tc>
          <w:tcPr>
            <w:tcW w:w="694" w:type="pct"/>
            <w:tcBorders>
              <w:top w:val="single" w:sz="4" w:space="0" w:color="auto"/>
              <w:left w:val="nil"/>
              <w:bottom w:val="single" w:sz="4" w:space="0" w:color="auto"/>
              <w:right w:val="single" w:sz="4" w:space="0" w:color="auto"/>
            </w:tcBorders>
            <w:shd w:val="clear" w:color="auto" w:fill="D9D9D9"/>
            <w:vAlign w:val="center"/>
            <w:hideMark/>
          </w:tcPr>
          <w:p w14:paraId="163904DE"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 xml:space="preserve">2022 </w:t>
            </w:r>
            <w:r w:rsidRPr="00E84DBE">
              <w:rPr>
                <w:rFonts w:eastAsia="Times New Roman" w:cs="Arial"/>
                <w:b/>
                <w:bCs/>
                <w:color w:val="000000"/>
                <w:sz w:val="14"/>
                <w:szCs w:val="14"/>
                <w:vertAlign w:val="superscript"/>
                <w:lang w:eastAsia="es-MX"/>
              </w:rPr>
              <w:t>2</w:t>
            </w:r>
          </w:p>
        </w:tc>
      </w:tr>
      <w:tr w:rsidR="00CB04CD" w:rsidRPr="00E84DBE" w14:paraId="1B92E538" w14:textId="77777777" w:rsidTr="00CB04CD">
        <w:trPr>
          <w:trHeight w:val="20"/>
        </w:trPr>
        <w:tc>
          <w:tcPr>
            <w:tcW w:w="126" w:type="pct"/>
            <w:tcBorders>
              <w:top w:val="nil"/>
              <w:left w:val="single" w:sz="4" w:space="0" w:color="auto"/>
              <w:bottom w:val="nil"/>
              <w:right w:val="nil"/>
            </w:tcBorders>
            <w:shd w:val="clear" w:color="auto" w:fill="FFFFFF"/>
            <w:noWrap/>
            <w:hideMark/>
          </w:tcPr>
          <w:p w14:paraId="57E78FC8"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53" w:type="pct"/>
            <w:shd w:val="clear" w:color="auto" w:fill="FFFFFF"/>
            <w:noWrap/>
            <w:hideMark/>
          </w:tcPr>
          <w:p w14:paraId="6983D8E6"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179" w:type="pct"/>
            <w:tcBorders>
              <w:top w:val="single" w:sz="4" w:space="0" w:color="auto"/>
              <w:left w:val="nil"/>
              <w:bottom w:val="nil"/>
              <w:right w:val="single" w:sz="4" w:space="0" w:color="auto"/>
            </w:tcBorders>
            <w:shd w:val="clear" w:color="auto" w:fill="FFFFFF"/>
            <w:hideMark/>
          </w:tcPr>
          <w:p w14:paraId="0224E951"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423" w:type="pct"/>
            <w:tcBorders>
              <w:top w:val="nil"/>
              <w:left w:val="single" w:sz="4" w:space="0" w:color="auto"/>
              <w:bottom w:val="nil"/>
              <w:right w:val="single" w:sz="4" w:space="0" w:color="auto"/>
            </w:tcBorders>
            <w:shd w:val="clear" w:color="auto" w:fill="FFFFFF"/>
            <w:hideMark/>
          </w:tcPr>
          <w:p w14:paraId="5D178245"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4" w:type="pct"/>
            <w:tcBorders>
              <w:top w:val="nil"/>
              <w:left w:val="nil"/>
              <w:bottom w:val="nil"/>
              <w:right w:val="single" w:sz="4" w:space="0" w:color="auto"/>
            </w:tcBorders>
            <w:shd w:val="clear" w:color="auto" w:fill="FFFFFF"/>
            <w:hideMark/>
          </w:tcPr>
          <w:p w14:paraId="69ED7399"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4" w:type="pct"/>
            <w:tcBorders>
              <w:top w:val="nil"/>
              <w:left w:val="nil"/>
              <w:bottom w:val="nil"/>
              <w:right w:val="single" w:sz="4" w:space="0" w:color="auto"/>
            </w:tcBorders>
            <w:shd w:val="clear" w:color="auto" w:fill="FFFFFF"/>
            <w:hideMark/>
          </w:tcPr>
          <w:p w14:paraId="55789FF4"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4" w:type="pct"/>
            <w:tcBorders>
              <w:top w:val="nil"/>
              <w:left w:val="nil"/>
              <w:bottom w:val="nil"/>
              <w:right w:val="single" w:sz="4" w:space="0" w:color="auto"/>
            </w:tcBorders>
            <w:shd w:val="clear" w:color="auto" w:fill="FFFFFF"/>
            <w:hideMark/>
          </w:tcPr>
          <w:p w14:paraId="0F9D38A6"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73" w:type="pct"/>
            <w:tcBorders>
              <w:top w:val="nil"/>
              <w:left w:val="nil"/>
              <w:bottom w:val="nil"/>
              <w:right w:val="single" w:sz="4" w:space="0" w:color="auto"/>
            </w:tcBorders>
            <w:shd w:val="clear" w:color="auto" w:fill="FFFFFF"/>
            <w:hideMark/>
          </w:tcPr>
          <w:p w14:paraId="1D92E617"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94" w:type="pct"/>
            <w:tcBorders>
              <w:top w:val="nil"/>
              <w:left w:val="nil"/>
              <w:bottom w:val="nil"/>
              <w:right w:val="single" w:sz="4" w:space="0" w:color="auto"/>
            </w:tcBorders>
            <w:shd w:val="clear" w:color="auto" w:fill="FFFFFF"/>
            <w:hideMark/>
          </w:tcPr>
          <w:p w14:paraId="2791B329" w14:textId="77777777" w:rsidR="00CB04CD" w:rsidRPr="00E84DBE" w:rsidRDefault="00CB04CD">
            <w:pPr>
              <w:spacing w:line="240" w:lineRule="auto"/>
              <w:rPr>
                <w:rFonts w:eastAsia="Times New Roman" w:cs="Arial"/>
                <w:color w:val="0000FF"/>
                <w:sz w:val="14"/>
                <w:szCs w:val="14"/>
                <w:lang w:eastAsia="es-MX"/>
              </w:rPr>
            </w:pPr>
            <w:r w:rsidRPr="00E84DBE">
              <w:rPr>
                <w:rFonts w:eastAsia="Times New Roman" w:cs="Arial"/>
                <w:color w:val="0000FF"/>
                <w:sz w:val="14"/>
                <w:szCs w:val="14"/>
                <w:lang w:eastAsia="es-MX"/>
              </w:rPr>
              <w:t> </w:t>
            </w:r>
          </w:p>
        </w:tc>
      </w:tr>
      <w:tr w:rsidR="00CB04CD" w:rsidRPr="00E84DBE" w14:paraId="08DABB2C" w14:textId="77777777" w:rsidTr="00CB04CD">
        <w:trPr>
          <w:trHeight w:val="20"/>
        </w:trPr>
        <w:tc>
          <w:tcPr>
            <w:tcW w:w="126" w:type="pct"/>
            <w:tcBorders>
              <w:top w:val="nil"/>
              <w:left w:val="single" w:sz="4" w:space="0" w:color="auto"/>
              <w:bottom w:val="nil"/>
              <w:right w:val="nil"/>
            </w:tcBorders>
            <w:noWrap/>
            <w:hideMark/>
          </w:tcPr>
          <w:p w14:paraId="6D704718"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1.</w:t>
            </w:r>
          </w:p>
        </w:tc>
        <w:tc>
          <w:tcPr>
            <w:tcW w:w="1332" w:type="pct"/>
            <w:gridSpan w:val="2"/>
            <w:tcBorders>
              <w:top w:val="nil"/>
              <w:left w:val="nil"/>
              <w:bottom w:val="nil"/>
              <w:right w:val="single" w:sz="4" w:space="0" w:color="000000"/>
            </w:tcBorders>
            <w:hideMark/>
          </w:tcPr>
          <w:p w14:paraId="076454F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Libre Disposición</w:t>
            </w:r>
            <w:r w:rsidRPr="00E84DBE">
              <w:rPr>
                <w:rFonts w:eastAsia="Times New Roman" w:cs="Arial"/>
                <w:b/>
                <w:bCs/>
                <w:sz w:val="14"/>
                <w:szCs w:val="14"/>
                <w:lang w:eastAsia="es-MX"/>
              </w:rPr>
              <w:br/>
              <w:t>(1=A+B+C+D+E+F+G+H+I+J+K+L)</w:t>
            </w:r>
          </w:p>
        </w:tc>
        <w:tc>
          <w:tcPr>
            <w:tcW w:w="423" w:type="pct"/>
            <w:tcBorders>
              <w:top w:val="nil"/>
              <w:left w:val="single" w:sz="4" w:space="0" w:color="auto"/>
              <w:bottom w:val="nil"/>
              <w:right w:val="single" w:sz="4" w:space="0" w:color="auto"/>
            </w:tcBorders>
            <w:vAlign w:val="center"/>
            <w:hideMark/>
          </w:tcPr>
          <w:p w14:paraId="2F1B405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184,503,131,634</w:t>
            </w:r>
          </w:p>
        </w:tc>
        <w:tc>
          <w:tcPr>
            <w:tcW w:w="584" w:type="pct"/>
            <w:tcBorders>
              <w:top w:val="nil"/>
              <w:left w:val="nil"/>
              <w:bottom w:val="nil"/>
              <w:right w:val="single" w:sz="4" w:space="0" w:color="auto"/>
            </w:tcBorders>
            <w:vAlign w:val="center"/>
            <w:hideMark/>
          </w:tcPr>
          <w:p w14:paraId="438062E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199,795,782,510</w:t>
            </w:r>
          </w:p>
        </w:tc>
        <w:tc>
          <w:tcPr>
            <w:tcW w:w="584" w:type="pct"/>
            <w:tcBorders>
              <w:top w:val="nil"/>
              <w:left w:val="nil"/>
              <w:bottom w:val="nil"/>
              <w:right w:val="single" w:sz="4" w:space="0" w:color="auto"/>
            </w:tcBorders>
            <w:vAlign w:val="center"/>
            <w:hideMark/>
          </w:tcPr>
          <w:p w14:paraId="2F5F508C"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206,461,553,553</w:t>
            </w:r>
          </w:p>
        </w:tc>
        <w:tc>
          <w:tcPr>
            <w:tcW w:w="584" w:type="pct"/>
            <w:tcBorders>
              <w:top w:val="nil"/>
              <w:left w:val="nil"/>
              <w:bottom w:val="nil"/>
              <w:right w:val="single" w:sz="4" w:space="0" w:color="auto"/>
            </w:tcBorders>
            <w:vAlign w:val="center"/>
            <w:hideMark/>
          </w:tcPr>
          <w:p w14:paraId="76A1E4C5"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195,981,166,225</w:t>
            </w:r>
          </w:p>
        </w:tc>
        <w:tc>
          <w:tcPr>
            <w:tcW w:w="673" w:type="pct"/>
            <w:tcBorders>
              <w:top w:val="nil"/>
              <w:left w:val="nil"/>
              <w:bottom w:val="nil"/>
              <w:right w:val="single" w:sz="4" w:space="0" w:color="auto"/>
            </w:tcBorders>
            <w:vAlign w:val="center"/>
            <w:hideMark/>
          </w:tcPr>
          <w:p w14:paraId="3BD2589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201,515,851,583</w:t>
            </w:r>
          </w:p>
        </w:tc>
        <w:tc>
          <w:tcPr>
            <w:tcW w:w="694" w:type="pct"/>
            <w:tcBorders>
              <w:top w:val="nil"/>
              <w:left w:val="nil"/>
              <w:bottom w:val="nil"/>
              <w:right w:val="single" w:sz="4" w:space="0" w:color="auto"/>
            </w:tcBorders>
            <w:vAlign w:val="center"/>
            <w:hideMark/>
          </w:tcPr>
          <w:p w14:paraId="0F9CAE6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213,820,849,234</w:t>
            </w:r>
          </w:p>
        </w:tc>
      </w:tr>
      <w:tr w:rsidR="00CB04CD" w:rsidRPr="00E84DBE" w14:paraId="59BD41D5" w14:textId="77777777" w:rsidTr="00CB04CD">
        <w:trPr>
          <w:trHeight w:val="20"/>
        </w:trPr>
        <w:tc>
          <w:tcPr>
            <w:tcW w:w="126" w:type="pct"/>
            <w:tcBorders>
              <w:top w:val="nil"/>
              <w:left w:val="single" w:sz="4" w:space="0" w:color="auto"/>
              <w:bottom w:val="nil"/>
              <w:right w:val="nil"/>
            </w:tcBorders>
            <w:noWrap/>
            <w:hideMark/>
          </w:tcPr>
          <w:p w14:paraId="4A4B4B18"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458CB5D4"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4228654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22C11CEC"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657F46F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5ED1C17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2FF8400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61BE580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5E435FC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0857CB69" w14:textId="77777777" w:rsidTr="00CB04CD">
        <w:trPr>
          <w:trHeight w:val="20"/>
        </w:trPr>
        <w:tc>
          <w:tcPr>
            <w:tcW w:w="126" w:type="pct"/>
            <w:tcBorders>
              <w:top w:val="nil"/>
              <w:left w:val="single" w:sz="4" w:space="0" w:color="auto"/>
              <w:bottom w:val="nil"/>
              <w:right w:val="nil"/>
            </w:tcBorders>
            <w:noWrap/>
            <w:hideMark/>
          </w:tcPr>
          <w:p w14:paraId="4C93769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039ACD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179" w:type="pct"/>
            <w:tcBorders>
              <w:top w:val="nil"/>
              <w:left w:val="nil"/>
              <w:bottom w:val="nil"/>
              <w:right w:val="single" w:sz="4" w:space="0" w:color="auto"/>
            </w:tcBorders>
            <w:hideMark/>
          </w:tcPr>
          <w:p w14:paraId="4FA8851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Impuestos</w:t>
            </w:r>
          </w:p>
        </w:tc>
        <w:tc>
          <w:tcPr>
            <w:tcW w:w="423" w:type="pct"/>
            <w:tcBorders>
              <w:top w:val="nil"/>
              <w:left w:val="single" w:sz="4" w:space="0" w:color="auto"/>
              <w:bottom w:val="nil"/>
              <w:right w:val="single" w:sz="4" w:space="0" w:color="auto"/>
            </w:tcBorders>
            <w:hideMark/>
          </w:tcPr>
          <w:p w14:paraId="0F071DD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17,563,875,192</w:t>
            </w:r>
          </w:p>
        </w:tc>
        <w:tc>
          <w:tcPr>
            <w:tcW w:w="584" w:type="pct"/>
            <w:tcBorders>
              <w:top w:val="nil"/>
              <w:left w:val="nil"/>
              <w:bottom w:val="nil"/>
              <w:right w:val="single" w:sz="4" w:space="0" w:color="auto"/>
            </w:tcBorders>
            <w:hideMark/>
          </w:tcPr>
          <w:p w14:paraId="1F10DAC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19,572,238,886</w:t>
            </w:r>
          </w:p>
        </w:tc>
        <w:tc>
          <w:tcPr>
            <w:tcW w:w="584" w:type="pct"/>
            <w:tcBorders>
              <w:top w:val="nil"/>
              <w:left w:val="nil"/>
              <w:bottom w:val="nil"/>
              <w:right w:val="single" w:sz="4" w:space="0" w:color="auto"/>
            </w:tcBorders>
            <w:hideMark/>
          </w:tcPr>
          <w:p w14:paraId="64A6196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21,451,514,032</w:t>
            </w:r>
          </w:p>
        </w:tc>
        <w:tc>
          <w:tcPr>
            <w:tcW w:w="584" w:type="pct"/>
            <w:tcBorders>
              <w:top w:val="nil"/>
              <w:left w:val="nil"/>
              <w:bottom w:val="nil"/>
              <w:right w:val="single" w:sz="4" w:space="0" w:color="auto"/>
            </w:tcBorders>
            <w:hideMark/>
          </w:tcPr>
          <w:p w14:paraId="532949B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20,850,708,719</w:t>
            </w:r>
          </w:p>
        </w:tc>
        <w:tc>
          <w:tcPr>
            <w:tcW w:w="673" w:type="pct"/>
            <w:tcBorders>
              <w:top w:val="nil"/>
              <w:left w:val="nil"/>
              <w:bottom w:val="nil"/>
              <w:right w:val="single" w:sz="4" w:space="0" w:color="auto"/>
            </w:tcBorders>
            <w:hideMark/>
          </w:tcPr>
          <w:p w14:paraId="71FE3F1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22,785,947,819</w:t>
            </w:r>
          </w:p>
        </w:tc>
        <w:tc>
          <w:tcPr>
            <w:tcW w:w="694" w:type="pct"/>
            <w:tcBorders>
              <w:top w:val="nil"/>
              <w:left w:val="nil"/>
              <w:bottom w:val="nil"/>
              <w:right w:val="single" w:sz="4" w:space="0" w:color="auto"/>
            </w:tcBorders>
            <w:hideMark/>
          </w:tcPr>
          <w:p w14:paraId="41C6F2A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23,604,253,243</w:t>
            </w:r>
          </w:p>
        </w:tc>
      </w:tr>
      <w:tr w:rsidR="00CB04CD" w:rsidRPr="00E84DBE" w14:paraId="1F76EC3C" w14:textId="77777777" w:rsidTr="00CB04CD">
        <w:trPr>
          <w:trHeight w:val="20"/>
        </w:trPr>
        <w:tc>
          <w:tcPr>
            <w:tcW w:w="126" w:type="pct"/>
            <w:tcBorders>
              <w:top w:val="nil"/>
              <w:left w:val="single" w:sz="4" w:space="0" w:color="auto"/>
              <w:bottom w:val="nil"/>
              <w:right w:val="nil"/>
            </w:tcBorders>
            <w:noWrap/>
            <w:hideMark/>
          </w:tcPr>
          <w:p w14:paraId="2B232D5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7F8F7DA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179" w:type="pct"/>
            <w:tcBorders>
              <w:top w:val="nil"/>
              <w:left w:val="nil"/>
              <w:bottom w:val="nil"/>
              <w:right w:val="single" w:sz="4" w:space="0" w:color="auto"/>
            </w:tcBorders>
            <w:hideMark/>
          </w:tcPr>
          <w:p w14:paraId="3ED3829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xml:space="preserve">Cuotas y Aportaciones de Seguridad Social </w:t>
            </w:r>
            <w:r w:rsidRPr="00E84DBE">
              <w:rPr>
                <w:rFonts w:eastAsia="Times New Roman" w:cs="Arial"/>
                <w:sz w:val="14"/>
                <w:szCs w:val="14"/>
                <w:vertAlign w:val="superscript"/>
                <w:lang w:eastAsia="es-MX"/>
              </w:rPr>
              <w:t>4</w:t>
            </w:r>
          </w:p>
        </w:tc>
        <w:tc>
          <w:tcPr>
            <w:tcW w:w="423" w:type="pct"/>
            <w:tcBorders>
              <w:top w:val="nil"/>
              <w:left w:val="single" w:sz="4" w:space="0" w:color="auto"/>
              <w:bottom w:val="nil"/>
              <w:right w:val="single" w:sz="4" w:space="0" w:color="auto"/>
            </w:tcBorders>
            <w:vAlign w:val="center"/>
            <w:hideMark/>
          </w:tcPr>
          <w:p w14:paraId="5345094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19,517,891,000</w:t>
            </w:r>
          </w:p>
        </w:tc>
        <w:tc>
          <w:tcPr>
            <w:tcW w:w="584" w:type="pct"/>
            <w:tcBorders>
              <w:top w:val="nil"/>
              <w:left w:val="nil"/>
              <w:bottom w:val="nil"/>
              <w:right w:val="single" w:sz="4" w:space="0" w:color="auto"/>
            </w:tcBorders>
            <w:vAlign w:val="center"/>
            <w:hideMark/>
          </w:tcPr>
          <w:p w14:paraId="1A810A3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20,543,801,000</w:t>
            </w:r>
          </w:p>
        </w:tc>
        <w:tc>
          <w:tcPr>
            <w:tcW w:w="584" w:type="pct"/>
            <w:tcBorders>
              <w:top w:val="nil"/>
              <w:left w:val="nil"/>
              <w:bottom w:val="nil"/>
              <w:right w:val="single" w:sz="4" w:space="0" w:color="auto"/>
            </w:tcBorders>
            <w:vAlign w:val="center"/>
            <w:hideMark/>
          </w:tcPr>
          <w:p w14:paraId="637270C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21,833,258,000</w:t>
            </w:r>
          </w:p>
        </w:tc>
        <w:tc>
          <w:tcPr>
            <w:tcW w:w="584" w:type="pct"/>
            <w:tcBorders>
              <w:top w:val="nil"/>
              <w:left w:val="nil"/>
              <w:bottom w:val="nil"/>
              <w:right w:val="single" w:sz="4" w:space="0" w:color="auto"/>
            </w:tcBorders>
            <w:vAlign w:val="center"/>
            <w:hideMark/>
          </w:tcPr>
          <w:p w14:paraId="385E032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24,014,043,000</w:t>
            </w:r>
          </w:p>
        </w:tc>
        <w:tc>
          <w:tcPr>
            <w:tcW w:w="673" w:type="pct"/>
            <w:tcBorders>
              <w:top w:val="nil"/>
              <w:left w:val="nil"/>
              <w:bottom w:val="nil"/>
              <w:right w:val="single" w:sz="4" w:space="0" w:color="auto"/>
            </w:tcBorders>
            <w:vAlign w:val="center"/>
            <w:hideMark/>
          </w:tcPr>
          <w:p w14:paraId="09AB95C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22,762,859,000</w:t>
            </w:r>
          </w:p>
        </w:tc>
        <w:tc>
          <w:tcPr>
            <w:tcW w:w="694" w:type="pct"/>
            <w:tcBorders>
              <w:top w:val="nil"/>
              <w:left w:val="nil"/>
              <w:bottom w:val="nil"/>
              <w:right w:val="single" w:sz="4" w:space="0" w:color="auto"/>
            </w:tcBorders>
            <w:vAlign w:val="center"/>
            <w:hideMark/>
          </w:tcPr>
          <w:p w14:paraId="169CFBD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29,161,248,701</w:t>
            </w:r>
          </w:p>
        </w:tc>
      </w:tr>
      <w:tr w:rsidR="00CB04CD" w:rsidRPr="00E84DBE" w14:paraId="0F940A2D" w14:textId="77777777" w:rsidTr="00CB04CD">
        <w:trPr>
          <w:trHeight w:val="20"/>
        </w:trPr>
        <w:tc>
          <w:tcPr>
            <w:tcW w:w="126" w:type="pct"/>
            <w:tcBorders>
              <w:top w:val="nil"/>
              <w:left w:val="single" w:sz="4" w:space="0" w:color="auto"/>
              <w:bottom w:val="nil"/>
              <w:right w:val="nil"/>
            </w:tcBorders>
            <w:noWrap/>
            <w:hideMark/>
          </w:tcPr>
          <w:p w14:paraId="30516DF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3EF3C6F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179" w:type="pct"/>
            <w:tcBorders>
              <w:top w:val="nil"/>
              <w:left w:val="nil"/>
              <w:bottom w:val="nil"/>
              <w:right w:val="single" w:sz="4" w:space="0" w:color="auto"/>
            </w:tcBorders>
            <w:hideMark/>
          </w:tcPr>
          <w:p w14:paraId="2923BFD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Contribuciones de Mejoras</w:t>
            </w:r>
          </w:p>
        </w:tc>
        <w:tc>
          <w:tcPr>
            <w:tcW w:w="423" w:type="pct"/>
            <w:tcBorders>
              <w:top w:val="nil"/>
              <w:left w:val="single" w:sz="4" w:space="0" w:color="auto"/>
              <w:bottom w:val="nil"/>
              <w:right w:val="single" w:sz="4" w:space="0" w:color="auto"/>
            </w:tcBorders>
            <w:hideMark/>
          </w:tcPr>
          <w:p w14:paraId="5B83DFC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566,661,322</w:t>
            </w:r>
          </w:p>
        </w:tc>
        <w:tc>
          <w:tcPr>
            <w:tcW w:w="584" w:type="pct"/>
            <w:tcBorders>
              <w:top w:val="nil"/>
              <w:left w:val="nil"/>
              <w:bottom w:val="nil"/>
              <w:right w:val="single" w:sz="4" w:space="0" w:color="auto"/>
            </w:tcBorders>
            <w:hideMark/>
          </w:tcPr>
          <w:p w14:paraId="6D2D412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458,278,434</w:t>
            </w:r>
          </w:p>
        </w:tc>
        <w:tc>
          <w:tcPr>
            <w:tcW w:w="584" w:type="pct"/>
            <w:tcBorders>
              <w:top w:val="nil"/>
              <w:left w:val="nil"/>
              <w:bottom w:val="nil"/>
              <w:right w:val="single" w:sz="4" w:space="0" w:color="auto"/>
            </w:tcBorders>
            <w:hideMark/>
          </w:tcPr>
          <w:p w14:paraId="7C29E0F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506,926,836</w:t>
            </w:r>
          </w:p>
        </w:tc>
        <w:tc>
          <w:tcPr>
            <w:tcW w:w="584" w:type="pct"/>
            <w:tcBorders>
              <w:top w:val="nil"/>
              <w:left w:val="nil"/>
              <w:bottom w:val="nil"/>
              <w:right w:val="single" w:sz="4" w:space="0" w:color="auto"/>
            </w:tcBorders>
            <w:hideMark/>
          </w:tcPr>
          <w:p w14:paraId="6DA8558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492,405,777</w:t>
            </w:r>
          </w:p>
        </w:tc>
        <w:tc>
          <w:tcPr>
            <w:tcW w:w="673" w:type="pct"/>
            <w:tcBorders>
              <w:top w:val="nil"/>
              <w:left w:val="nil"/>
              <w:bottom w:val="nil"/>
              <w:right w:val="single" w:sz="4" w:space="0" w:color="auto"/>
            </w:tcBorders>
            <w:hideMark/>
          </w:tcPr>
          <w:p w14:paraId="6DE6B26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703,868,291</w:t>
            </w:r>
          </w:p>
        </w:tc>
        <w:tc>
          <w:tcPr>
            <w:tcW w:w="694" w:type="pct"/>
            <w:tcBorders>
              <w:top w:val="nil"/>
              <w:left w:val="nil"/>
              <w:bottom w:val="nil"/>
              <w:right w:val="single" w:sz="4" w:space="0" w:color="auto"/>
            </w:tcBorders>
            <w:hideMark/>
          </w:tcPr>
          <w:p w14:paraId="4656EB7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495,600,049</w:t>
            </w:r>
          </w:p>
        </w:tc>
      </w:tr>
      <w:tr w:rsidR="00CB04CD" w:rsidRPr="00E84DBE" w14:paraId="0F46621B" w14:textId="77777777" w:rsidTr="00CB04CD">
        <w:trPr>
          <w:trHeight w:val="20"/>
        </w:trPr>
        <w:tc>
          <w:tcPr>
            <w:tcW w:w="126" w:type="pct"/>
            <w:tcBorders>
              <w:top w:val="nil"/>
              <w:left w:val="single" w:sz="4" w:space="0" w:color="auto"/>
              <w:bottom w:val="nil"/>
              <w:right w:val="nil"/>
            </w:tcBorders>
            <w:noWrap/>
            <w:hideMark/>
          </w:tcPr>
          <w:p w14:paraId="3D5720F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29760B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179" w:type="pct"/>
            <w:tcBorders>
              <w:top w:val="nil"/>
              <w:left w:val="nil"/>
              <w:bottom w:val="nil"/>
              <w:right w:val="single" w:sz="4" w:space="0" w:color="auto"/>
            </w:tcBorders>
            <w:hideMark/>
          </w:tcPr>
          <w:p w14:paraId="1465476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Derechos</w:t>
            </w:r>
          </w:p>
        </w:tc>
        <w:tc>
          <w:tcPr>
            <w:tcW w:w="423" w:type="pct"/>
            <w:tcBorders>
              <w:top w:val="nil"/>
              <w:left w:val="single" w:sz="4" w:space="0" w:color="auto"/>
              <w:bottom w:val="nil"/>
              <w:right w:val="single" w:sz="4" w:space="0" w:color="auto"/>
            </w:tcBorders>
            <w:hideMark/>
          </w:tcPr>
          <w:p w14:paraId="0C714A3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7,828,246,897</w:t>
            </w:r>
          </w:p>
        </w:tc>
        <w:tc>
          <w:tcPr>
            <w:tcW w:w="584" w:type="pct"/>
            <w:tcBorders>
              <w:top w:val="nil"/>
              <w:left w:val="nil"/>
              <w:bottom w:val="nil"/>
              <w:right w:val="single" w:sz="4" w:space="0" w:color="auto"/>
            </w:tcBorders>
            <w:hideMark/>
          </w:tcPr>
          <w:p w14:paraId="71389C8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8,254,093,076</w:t>
            </w:r>
          </w:p>
        </w:tc>
        <w:tc>
          <w:tcPr>
            <w:tcW w:w="584" w:type="pct"/>
            <w:tcBorders>
              <w:top w:val="nil"/>
              <w:left w:val="nil"/>
              <w:bottom w:val="nil"/>
              <w:right w:val="single" w:sz="4" w:space="0" w:color="auto"/>
            </w:tcBorders>
            <w:hideMark/>
          </w:tcPr>
          <w:p w14:paraId="23D9FFF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10,296,210,739</w:t>
            </w:r>
          </w:p>
        </w:tc>
        <w:tc>
          <w:tcPr>
            <w:tcW w:w="584" w:type="pct"/>
            <w:tcBorders>
              <w:top w:val="nil"/>
              <w:left w:val="nil"/>
              <w:bottom w:val="nil"/>
              <w:right w:val="single" w:sz="4" w:space="0" w:color="auto"/>
            </w:tcBorders>
            <w:hideMark/>
          </w:tcPr>
          <w:p w14:paraId="7D3DC2F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9,541,071,421</w:t>
            </w:r>
          </w:p>
        </w:tc>
        <w:tc>
          <w:tcPr>
            <w:tcW w:w="673" w:type="pct"/>
            <w:tcBorders>
              <w:top w:val="nil"/>
              <w:left w:val="nil"/>
              <w:bottom w:val="nil"/>
              <w:right w:val="single" w:sz="4" w:space="0" w:color="auto"/>
            </w:tcBorders>
            <w:hideMark/>
          </w:tcPr>
          <w:p w14:paraId="456D002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11,437,422,221</w:t>
            </w:r>
          </w:p>
        </w:tc>
        <w:tc>
          <w:tcPr>
            <w:tcW w:w="694" w:type="pct"/>
            <w:tcBorders>
              <w:top w:val="nil"/>
              <w:left w:val="nil"/>
              <w:bottom w:val="nil"/>
              <w:right w:val="single" w:sz="4" w:space="0" w:color="auto"/>
            </w:tcBorders>
            <w:hideMark/>
          </w:tcPr>
          <w:p w14:paraId="01AAC4A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12,507,702,920</w:t>
            </w:r>
          </w:p>
        </w:tc>
      </w:tr>
      <w:tr w:rsidR="00CB04CD" w:rsidRPr="00E84DBE" w14:paraId="48E6161B" w14:textId="77777777" w:rsidTr="00CB04CD">
        <w:trPr>
          <w:trHeight w:val="20"/>
        </w:trPr>
        <w:tc>
          <w:tcPr>
            <w:tcW w:w="126" w:type="pct"/>
            <w:tcBorders>
              <w:top w:val="nil"/>
              <w:left w:val="single" w:sz="4" w:space="0" w:color="auto"/>
              <w:bottom w:val="nil"/>
              <w:right w:val="nil"/>
            </w:tcBorders>
            <w:noWrap/>
            <w:hideMark/>
          </w:tcPr>
          <w:p w14:paraId="1A2E64D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00DEDA4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179" w:type="pct"/>
            <w:tcBorders>
              <w:top w:val="nil"/>
              <w:left w:val="nil"/>
              <w:bottom w:val="nil"/>
              <w:right w:val="single" w:sz="4" w:space="0" w:color="auto"/>
            </w:tcBorders>
            <w:hideMark/>
          </w:tcPr>
          <w:p w14:paraId="0068B7A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Productos</w:t>
            </w:r>
          </w:p>
        </w:tc>
        <w:tc>
          <w:tcPr>
            <w:tcW w:w="423" w:type="pct"/>
            <w:tcBorders>
              <w:top w:val="nil"/>
              <w:left w:val="single" w:sz="4" w:space="0" w:color="auto"/>
              <w:bottom w:val="nil"/>
              <w:right w:val="single" w:sz="4" w:space="0" w:color="auto"/>
            </w:tcBorders>
            <w:hideMark/>
          </w:tcPr>
          <w:p w14:paraId="4C5A3DB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687,611,565</w:t>
            </w:r>
          </w:p>
        </w:tc>
        <w:tc>
          <w:tcPr>
            <w:tcW w:w="584" w:type="pct"/>
            <w:tcBorders>
              <w:top w:val="nil"/>
              <w:left w:val="nil"/>
              <w:bottom w:val="nil"/>
              <w:right w:val="single" w:sz="4" w:space="0" w:color="auto"/>
            </w:tcBorders>
            <w:hideMark/>
          </w:tcPr>
          <w:p w14:paraId="3CFD5AD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865,508,485</w:t>
            </w:r>
          </w:p>
        </w:tc>
        <w:tc>
          <w:tcPr>
            <w:tcW w:w="584" w:type="pct"/>
            <w:tcBorders>
              <w:top w:val="nil"/>
              <w:left w:val="nil"/>
              <w:bottom w:val="nil"/>
              <w:right w:val="single" w:sz="4" w:space="0" w:color="auto"/>
            </w:tcBorders>
            <w:hideMark/>
          </w:tcPr>
          <w:p w14:paraId="5E93E77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940,469,774</w:t>
            </w:r>
          </w:p>
        </w:tc>
        <w:tc>
          <w:tcPr>
            <w:tcW w:w="584" w:type="pct"/>
            <w:tcBorders>
              <w:top w:val="nil"/>
              <w:left w:val="nil"/>
              <w:bottom w:val="nil"/>
              <w:right w:val="single" w:sz="4" w:space="0" w:color="auto"/>
            </w:tcBorders>
            <w:hideMark/>
          </w:tcPr>
          <w:p w14:paraId="6B24956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743,171,688</w:t>
            </w:r>
          </w:p>
        </w:tc>
        <w:tc>
          <w:tcPr>
            <w:tcW w:w="673" w:type="pct"/>
            <w:tcBorders>
              <w:top w:val="nil"/>
              <w:left w:val="nil"/>
              <w:bottom w:val="nil"/>
              <w:right w:val="single" w:sz="4" w:space="0" w:color="auto"/>
            </w:tcBorders>
            <w:hideMark/>
          </w:tcPr>
          <w:p w14:paraId="7583847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611,956,686</w:t>
            </w:r>
          </w:p>
        </w:tc>
        <w:tc>
          <w:tcPr>
            <w:tcW w:w="694" w:type="pct"/>
            <w:tcBorders>
              <w:top w:val="nil"/>
              <w:left w:val="nil"/>
              <w:bottom w:val="nil"/>
              <w:right w:val="single" w:sz="4" w:space="0" w:color="auto"/>
            </w:tcBorders>
            <w:hideMark/>
          </w:tcPr>
          <w:p w14:paraId="517D244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872,896,280</w:t>
            </w:r>
          </w:p>
        </w:tc>
      </w:tr>
      <w:tr w:rsidR="00CB04CD" w:rsidRPr="00E84DBE" w14:paraId="3A192DE1" w14:textId="77777777" w:rsidTr="00CB04CD">
        <w:trPr>
          <w:trHeight w:val="20"/>
        </w:trPr>
        <w:tc>
          <w:tcPr>
            <w:tcW w:w="126" w:type="pct"/>
            <w:tcBorders>
              <w:top w:val="nil"/>
              <w:left w:val="single" w:sz="4" w:space="0" w:color="auto"/>
              <w:bottom w:val="nil"/>
              <w:right w:val="nil"/>
            </w:tcBorders>
            <w:noWrap/>
            <w:hideMark/>
          </w:tcPr>
          <w:p w14:paraId="3DEAE0E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76C1CDC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F.</w:t>
            </w:r>
          </w:p>
        </w:tc>
        <w:tc>
          <w:tcPr>
            <w:tcW w:w="1179" w:type="pct"/>
            <w:tcBorders>
              <w:top w:val="nil"/>
              <w:left w:val="nil"/>
              <w:bottom w:val="nil"/>
              <w:right w:val="single" w:sz="4" w:space="0" w:color="auto"/>
            </w:tcBorders>
            <w:hideMark/>
          </w:tcPr>
          <w:p w14:paraId="03FF8A4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Aprovechamientos</w:t>
            </w:r>
          </w:p>
        </w:tc>
        <w:tc>
          <w:tcPr>
            <w:tcW w:w="423" w:type="pct"/>
            <w:tcBorders>
              <w:top w:val="nil"/>
              <w:left w:val="single" w:sz="4" w:space="0" w:color="auto"/>
              <w:bottom w:val="nil"/>
              <w:right w:val="single" w:sz="4" w:space="0" w:color="auto"/>
            </w:tcBorders>
            <w:hideMark/>
          </w:tcPr>
          <w:p w14:paraId="7D67C65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3,703,412,946</w:t>
            </w:r>
          </w:p>
        </w:tc>
        <w:tc>
          <w:tcPr>
            <w:tcW w:w="584" w:type="pct"/>
            <w:tcBorders>
              <w:top w:val="nil"/>
              <w:left w:val="nil"/>
              <w:bottom w:val="nil"/>
              <w:right w:val="single" w:sz="4" w:space="0" w:color="auto"/>
            </w:tcBorders>
            <w:hideMark/>
          </w:tcPr>
          <w:p w14:paraId="1130D29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3,142,834,382</w:t>
            </w:r>
          </w:p>
        </w:tc>
        <w:tc>
          <w:tcPr>
            <w:tcW w:w="584" w:type="pct"/>
            <w:tcBorders>
              <w:top w:val="nil"/>
              <w:left w:val="nil"/>
              <w:bottom w:val="nil"/>
              <w:right w:val="single" w:sz="4" w:space="0" w:color="auto"/>
            </w:tcBorders>
            <w:hideMark/>
          </w:tcPr>
          <w:p w14:paraId="190AF24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3,637,934,599</w:t>
            </w:r>
          </w:p>
        </w:tc>
        <w:tc>
          <w:tcPr>
            <w:tcW w:w="584" w:type="pct"/>
            <w:tcBorders>
              <w:top w:val="nil"/>
              <w:left w:val="nil"/>
              <w:bottom w:val="nil"/>
              <w:right w:val="single" w:sz="4" w:space="0" w:color="auto"/>
            </w:tcBorders>
            <w:hideMark/>
          </w:tcPr>
          <w:p w14:paraId="53FE1D7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2,460,735,348</w:t>
            </w:r>
          </w:p>
        </w:tc>
        <w:tc>
          <w:tcPr>
            <w:tcW w:w="673" w:type="pct"/>
            <w:tcBorders>
              <w:top w:val="nil"/>
              <w:left w:val="nil"/>
              <w:bottom w:val="nil"/>
              <w:right w:val="single" w:sz="4" w:space="0" w:color="auto"/>
            </w:tcBorders>
            <w:hideMark/>
          </w:tcPr>
          <w:p w14:paraId="56BDE9A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5,593,747,583</w:t>
            </w:r>
          </w:p>
        </w:tc>
        <w:tc>
          <w:tcPr>
            <w:tcW w:w="694" w:type="pct"/>
            <w:tcBorders>
              <w:top w:val="nil"/>
              <w:left w:val="nil"/>
              <w:bottom w:val="nil"/>
              <w:right w:val="single" w:sz="4" w:space="0" w:color="auto"/>
            </w:tcBorders>
            <w:hideMark/>
          </w:tcPr>
          <w:p w14:paraId="4EB969B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2,233,056,044</w:t>
            </w:r>
          </w:p>
        </w:tc>
      </w:tr>
      <w:tr w:rsidR="00CB04CD" w:rsidRPr="00E84DBE" w14:paraId="6335B95B" w14:textId="77777777" w:rsidTr="00CB04CD">
        <w:trPr>
          <w:trHeight w:val="20"/>
        </w:trPr>
        <w:tc>
          <w:tcPr>
            <w:tcW w:w="126" w:type="pct"/>
            <w:tcBorders>
              <w:top w:val="nil"/>
              <w:left w:val="single" w:sz="4" w:space="0" w:color="auto"/>
              <w:bottom w:val="nil"/>
              <w:right w:val="nil"/>
            </w:tcBorders>
            <w:noWrap/>
            <w:hideMark/>
          </w:tcPr>
          <w:p w14:paraId="7301E48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2AA82BE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G.</w:t>
            </w:r>
          </w:p>
        </w:tc>
        <w:tc>
          <w:tcPr>
            <w:tcW w:w="1179" w:type="pct"/>
            <w:tcBorders>
              <w:top w:val="nil"/>
              <w:left w:val="nil"/>
              <w:bottom w:val="nil"/>
              <w:right w:val="single" w:sz="4" w:space="0" w:color="auto"/>
            </w:tcBorders>
            <w:hideMark/>
          </w:tcPr>
          <w:p w14:paraId="10A97E0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por Venta de Bienes y Prestación de Servicios</w:t>
            </w:r>
          </w:p>
        </w:tc>
        <w:tc>
          <w:tcPr>
            <w:tcW w:w="423" w:type="pct"/>
            <w:tcBorders>
              <w:top w:val="nil"/>
              <w:left w:val="single" w:sz="4" w:space="0" w:color="auto"/>
              <w:bottom w:val="nil"/>
              <w:right w:val="single" w:sz="4" w:space="0" w:color="auto"/>
            </w:tcBorders>
            <w:vAlign w:val="center"/>
            <w:hideMark/>
          </w:tcPr>
          <w:p w14:paraId="5153EFF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30,742,706,000</w:t>
            </w:r>
          </w:p>
        </w:tc>
        <w:tc>
          <w:tcPr>
            <w:tcW w:w="584" w:type="pct"/>
            <w:tcBorders>
              <w:top w:val="nil"/>
              <w:left w:val="nil"/>
              <w:bottom w:val="nil"/>
              <w:right w:val="single" w:sz="4" w:space="0" w:color="auto"/>
            </w:tcBorders>
            <w:vAlign w:val="center"/>
            <w:hideMark/>
          </w:tcPr>
          <w:p w14:paraId="1C28A28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29,232,663,000</w:t>
            </w:r>
          </w:p>
        </w:tc>
        <w:tc>
          <w:tcPr>
            <w:tcW w:w="584" w:type="pct"/>
            <w:tcBorders>
              <w:top w:val="nil"/>
              <w:left w:val="nil"/>
              <w:bottom w:val="nil"/>
              <w:right w:val="single" w:sz="4" w:space="0" w:color="auto"/>
            </w:tcBorders>
            <w:vAlign w:val="center"/>
            <w:hideMark/>
          </w:tcPr>
          <w:p w14:paraId="5DEFF4C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21,167,544,000</w:t>
            </w:r>
          </w:p>
        </w:tc>
        <w:tc>
          <w:tcPr>
            <w:tcW w:w="584" w:type="pct"/>
            <w:tcBorders>
              <w:top w:val="nil"/>
              <w:left w:val="nil"/>
              <w:bottom w:val="nil"/>
              <w:right w:val="single" w:sz="4" w:space="0" w:color="auto"/>
            </w:tcBorders>
            <w:vAlign w:val="center"/>
            <w:hideMark/>
          </w:tcPr>
          <w:p w14:paraId="598F3B8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11,036,336,000</w:t>
            </w:r>
          </w:p>
        </w:tc>
        <w:tc>
          <w:tcPr>
            <w:tcW w:w="673" w:type="pct"/>
            <w:tcBorders>
              <w:top w:val="nil"/>
              <w:left w:val="nil"/>
              <w:bottom w:val="nil"/>
              <w:right w:val="single" w:sz="4" w:space="0" w:color="auto"/>
            </w:tcBorders>
            <w:vAlign w:val="center"/>
            <w:hideMark/>
          </w:tcPr>
          <w:p w14:paraId="66ECA3A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11,077,255,000</w:t>
            </w:r>
          </w:p>
        </w:tc>
        <w:tc>
          <w:tcPr>
            <w:tcW w:w="694" w:type="pct"/>
            <w:tcBorders>
              <w:top w:val="nil"/>
              <w:left w:val="nil"/>
              <w:bottom w:val="nil"/>
              <w:right w:val="single" w:sz="4" w:space="0" w:color="auto"/>
            </w:tcBorders>
            <w:vAlign w:val="center"/>
            <w:hideMark/>
          </w:tcPr>
          <w:p w14:paraId="1F50360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4,031,360,702</w:t>
            </w:r>
          </w:p>
        </w:tc>
      </w:tr>
      <w:tr w:rsidR="00CB04CD" w:rsidRPr="00E84DBE" w14:paraId="40532C87" w14:textId="77777777" w:rsidTr="00CB04CD">
        <w:trPr>
          <w:trHeight w:val="20"/>
        </w:trPr>
        <w:tc>
          <w:tcPr>
            <w:tcW w:w="126" w:type="pct"/>
            <w:tcBorders>
              <w:top w:val="nil"/>
              <w:left w:val="single" w:sz="4" w:space="0" w:color="auto"/>
              <w:bottom w:val="nil"/>
              <w:right w:val="nil"/>
            </w:tcBorders>
            <w:noWrap/>
            <w:hideMark/>
          </w:tcPr>
          <w:p w14:paraId="1F14B9D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792A488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H.</w:t>
            </w:r>
          </w:p>
        </w:tc>
        <w:tc>
          <w:tcPr>
            <w:tcW w:w="1179" w:type="pct"/>
            <w:tcBorders>
              <w:top w:val="nil"/>
              <w:left w:val="nil"/>
              <w:bottom w:val="nil"/>
              <w:right w:val="single" w:sz="4" w:space="0" w:color="auto"/>
            </w:tcBorders>
            <w:hideMark/>
          </w:tcPr>
          <w:p w14:paraId="662CE0D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xml:space="preserve">Participaciones </w:t>
            </w:r>
            <w:r w:rsidRPr="00E84DBE">
              <w:rPr>
                <w:rFonts w:eastAsia="Times New Roman" w:cs="Arial"/>
                <w:sz w:val="14"/>
                <w:szCs w:val="14"/>
                <w:vertAlign w:val="superscript"/>
                <w:lang w:eastAsia="es-MX"/>
              </w:rPr>
              <w:t>3</w:t>
            </w:r>
          </w:p>
        </w:tc>
        <w:tc>
          <w:tcPr>
            <w:tcW w:w="423" w:type="pct"/>
            <w:tcBorders>
              <w:top w:val="nil"/>
              <w:left w:val="single" w:sz="4" w:space="0" w:color="auto"/>
              <w:bottom w:val="nil"/>
              <w:right w:val="single" w:sz="4" w:space="0" w:color="auto"/>
            </w:tcBorders>
            <w:hideMark/>
          </w:tcPr>
          <w:p w14:paraId="62BB9AA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95,472,246,939</w:t>
            </w:r>
          </w:p>
        </w:tc>
        <w:tc>
          <w:tcPr>
            <w:tcW w:w="584" w:type="pct"/>
            <w:tcBorders>
              <w:top w:val="nil"/>
              <w:left w:val="nil"/>
              <w:bottom w:val="nil"/>
              <w:right w:val="single" w:sz="4" w:space="0" w:color="auto"/>
            </w:tcBorders>
            <w:hideMark/>
          </w:tcPr>
          <w:p w14:paraId="5229227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108,068,098,566</w:t>
            </w:r>
          </w:p>
        </w:tc>
        <w:tc>
          <w:tcPr>
            <w:tcW w:w="584" w:type="pct"/>
            <w:tcBorders>
              <w:top w:val="nil"/>
              <w:left w:val="nil"/>
              <w:bottom w:val="nil"/>
              <w:right w:val="single" w:sz="4" w:space="0" w:color="auto"/>
            </w:tcBorders>
            <w:hideMark/>
          </w:tcPr>
          <w:p w14:paraId="0F1BACE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117,559,140,350</w:t>
            </w:r>
          </w:p>
        </w:tc>
        <w:tc>
          <w:tcPr>
            <w:tcW w:w="584" w:type="pct"/>
            <w:tcBorders>
              <w:top w:val="nil"/>
              <w:left w:val="nil"/>
              <w:bottom w:val="nil"/>
              <w:right w:val="single" w:sz="4" w:space="0" w:color="auto"/>
            </w:tcBorders>
            <w:hideMark/>
          </w:tcPr>
          <w:p w14:paraId="33C5284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121,004,716,006</w:t>
            </w:r>
          </w:p>
        </w:tc>
        <w:tc>
          <w:tcPr>
            <w:tcW w:w="673" w:type="pct"/>
            <w:tcBorders>
              <w:top w:val="nil"/>
              <w:left w:val="nil"/>
              <w:bottom w:val="nil"/>
              <w:right w:val="single" w:sz="4" w:space="0" w:color="auto"/>
            </w:tcBorders>
            <w:hideMark/>
          </w:tcPr>
          <w:p w14:paraId="2DA7307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120,248,680,482</w:t>
            </w:r>
          </w:p>
        </w:tc>
        <w:tc>
          <w:tcPr>
            <w:tcW w:w="694" w:type="pct"/>
            <w:tcBorders>
              <w:top w:val="nil"/>
              <w:left w:val="nil"/>
              <w:bottom w:val="nil"/>
              <w:right w:val="single" w:sz="4" w:space="0" w:color="auto"/>
            </w:tcBorders>
            <w:hideMark/>
          </w:tcPr>
          <w:p w14:paraId="01FC1F8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133,545,122,450</w:t>
            </w:r>
          </w:p>
        </w:tc>
      </w:tr>
      <w:tr w:rsidR="00CB04CD" w:rsidRPr="00E84DBE" w14:paraId="6EA927F8" w14:textId="77777777" w:rsidTr="00CB04CD">
        <w:trPr>
          <w:trHeight w:val="20"/>
        </w:trPr>
        <w:tc>
          <w:tcPr>
            <w:tcW w:w="126" w:type="pct"/>
            <w:tcBorders>
              <w:top w:val="nil"/>
              <w:left w:val="single" w:sz="4" w:space="0" w:color="auto"/>
              <w:bottom w:val="nil"/>
              <w:right w:val="nil"/>
            </w:tcBorders>
            <w:noWrap/>
            <w:hideMark/>
          </w:tcPr>
          <w:p w14:paraId="51E01BC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1D95640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w:t>
            </w:r>
          </w:p>
        </w:tc>
        <w:tc>
          <w:tcPr>
            <w:tcW w:w="1179" w:type="pct"/>
            <w:tcBorders>
              <w:top w:val="nil"/>
              <w:left w:val="nil"/>
              <w:bottom w:val="nil"/>
              <w:right w:val="single" w:sz="4" w:space="0" w:color="auto"/>
            </w:tcBorders>
            <w:hideMark/>
          </w:tcPr>
          <w:p w14:paraId="072B1AC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Incentivos Derivados de la Colaboración Fiscal</w:t>
            </w:r>
          </w:p>
        </w:tc>
        <w:tc>
          <w:tcPr>
            <w:tcW w:w="423" w:type="pct"/>
            <w:tcBorders>
              <w:top w:val="nil"/>
              <w:left w:val="single" w:sz="4" w:space="0" w:color="auto"/>
              <w:bottom w:val="nil"/>
              <w:right w:val="single" w:sz="4" w:space="0" w:color="auto"/>
            </w:tcBorders>
            <w:vAlign w:val="center"/>
            <w:hideMark/>
          </w:tcPr>
          <w:p w14:paraId="1BAE89D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7,071,585,478</w:t>
            </w:r>
          </w:p>
        </w:tc>
        <w:tc>
          <w:tcPr>
            <w:tcW w:w="584" w:type="pct"/>
            <w:tcBorders>
              <w:top w:val="nil"/>
              <w:left w:val="nil"/>
              <w:bottom w:val="nil"/>
              <w:right w:val="single" w:sz="4" w:space="0" w:color="auto"/>
            </w:tcBorders>
            <w:vAlign w:val="center"/>
            <w:hideMark/>
          </w:tcPr>
          <w:p w14:paraId="11EB2FF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8,378,793,206</w:t>
            </w:r>
          </w:p>
        </w:tc>
        <w:tc>
          <w:tcPr>
            <w:tcW w:w="584" w:type="pct"/>
            <w:tcBorders>
              <w:top w:val="nil"/>
              <w:left w:val="nil"/>
              <w:bottom w:val="nil"/>
              <w:right w:val="single" w:sz="4" w:space="0" w:color="auto"/>
            </w:tcBorders>
            <w:vAlign w:val="center"/>
            <w:hideMark/>
          </w:tcPr>
          <w:p w14:paraId="069BB9F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9,006,445,224</w:t>
            </w:r>
          </w:p>
        </w:tc>
        <w:tc>
          <w:tcPr>
            <w:tcW w:w="584" w:type="pct"/>
            <w:tcBorders>
              <w:top w:val="nil"/>
              <w:left w:val="nil"/>
              <w:bottom w:val="nil"/>
              <w:right w:val="single" w:sz="4" w:space="0" w:color="auto"/>
            </w:tcBorders>
            <w:vAlign w:val="center"/>
            <w:hideMark/>
          </w:tcPr>
          <w:p w14:paraId="1F3960F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5,837,978,266</w:t>
            </w:r>
          </w:p>
        </w:tc>
        <w:tc>
          <w:tcPr>
            <w:tcW w:w="673" w:type="pct"/>
            <w:tcBorders>
              <w:top w:val="nil"/>
              <w:left w:val="nil"/>
              <w:bottom w:val="nil"/>
              <w:right w:val="single" w:sz="4" w:space="0" w:color="auto"/>
            </w:tcBorders>
            <w:vAlign w:val="center"/>
            <w:hideMark/>
          </w:tcPr>
          <w:p w14:paraId="774AAF3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6,294,114,502</w:t>
            </w:r>
          </w:p>
        </w:tc>
        <w:tc>
          <w:tcPr>
            <w:tcW w:w="694" w:type="pct"/>
            <w:tcBorders>
              <w:top w:val="nil"/>
              <w:left w:val="nil"/>
              <w:bottom w:val="nil"/>
              <w:right w:val="single" w:sz="4" w:space="0" w:color="auto"/>
            </w:tcBorders>
            <w:vAlign w:val="center"/>
            <w:hideMark/>
          </w:tcPr>
          <w:p w14:paraId="07309AA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7,369,608,845</w:t>
            </w:r>
          </w:p>
        </w:tc>
      </w:tr>
      <w:tr w:rsidR="00CB04CD" w:rsidRPr="00E84DBE" w14:paraId="5CD5EC40" w14:textId="77777777" w:rsidTr="00CB04CD">
        <w:trPr>
          <w:trHeight w:val="20"/>
        </w:trPr>
        <w:tc>
          <w:tcPr>
            <w:tcW w:w="126" w:type="pct"/>
            <w:tcBorders>
              <w:top w:val="nil"/>
              <w:left w:val="single" w:sz="4" w:space="0" w:color="auto"/>
              <w:bottom w:val="nil"/>
              <w:right w:val="nil"/>
            </w:tcBorders>
            <w:noWrap/>
            <w:hideMark/>
          </w:tcPr>
          <w:p w14:paraId="6A6F3D3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488D5FF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J.</w:t>
            </w:r>
          </w:p>
        </w:tc>
        <w:tc>
          <w:tcPr>
            <w:tcW w:w="1179" w:type="pct"/>
            <w:tcBorders>
              <w:top w:val="nil"/>
              <w:left w:val="nil"/>
              <w:bottom w:val="nil"/>
              <w:right w:val="single" w:sz="4" w:space="0" w:color="auto"/>
            </w:tcBorders>
            <w:hideMark/>
          </w:tcPr>
          <w:p w14:paraId="72A69A6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Transferencias y Asignaciones</w:t>
            </w:r>
          </w:p>
        </w:tc>
        <w:tc>
          <w:tcPr>
            <w:tcW w:w="423" w:type="pct"/>
            <w:tcBorders>
              <w:top w:val="nil"/>
              <w:left w:val="single" w:sz="4" w:space="0" w:color="auto"/>
              <w:bottom w:val="nil"/>
              <w:right w:val="single" w:sz="4" w:space="0" w:color="auto"/>
            </w:tcBorders>
            <w:hideMark/>
          </w:tcPr>
          <w:p w14:paraId="7C7D88C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76F518C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33C4661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108CFAB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hideMark/>
          </w:tcPr>
          <w:p w14:paraId="0B7BE69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hideMark/>
          </w:tcPr>
          <w:p w14:paraId="2B4A4F6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08140695" w14:textId="77777777" w:rsidTr="00CB04CD">
        <w:trPr>
          <w:trHeight w:val="20"/>
        </w:trPr>
        <w:tc>
          <w:tcPr>
            <w:tcW w:w="126" w:type="pct"/>
            <w:tcBorders>
              <w:top w:val="nil"/>
              <w:left w:val="single" w:sz="4" w:space="0" w:color="auto"/>
              <w:bottom w:val="nil"/>
              <w:right w:val="nil"/>
            </w:tcBorders>
            <w:noWrap/>
            <w:hideMark/>
          </w:tcPr>
          <w:p w14:paraId="15D5436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3188367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K.</w:t>
            </w:r>
          </w:p>
        </w:tc>
        <w:tc>
          <w:tcPr>
            <w:tcW w:w="1179" w:type="pct"/>
            <w:tcBorders>
              <w:top w:val="nil"/>
              <w:left w:val="nil"/>
              <w:bottom w:val="nil"/>
              <w:right w:val="single" w:sz="4" w:space="0" w:color="auto"/>
            </w:tcBorders>
            <w:hideMark/>
          </w:tcPr>
          <w:p w14:paraId="519F325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423" w:type="pct"/>
            <w:tcBorders>
              <w:top w:val="nil"/>
              <w:left w:val="single" w:sz="4" w:space="0" w:color="auto"/>
              <w:bottom w:val="nil"/>
              <w:right w:val="single" w:sz="4" w:space="0" w:color="auto"/>
            </w:tcBorders>
            <w:hideMark/>
          </w:tcPr>
          <w:p w14:paraId="635B717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1,273,726,295</w:t>
            </w:r>
          </w:p>
        </w:tc>
        <w:tc>
          <w:tcPr>
            <w:tcW w:w="584" w:type="pct"/>
            <w:tcBorders>
              <w:top w:val="nil"/>
              <w:left w:val="nil"/>
              <w:bottom w:val="nil"/>
              <w:right w:val="single" w:sz="4" w:space="0" w:color="auto"/>
            </w:tcBorders>
            <w:hideMark/>
          </w:tcPr>
          <w:p w14:paraId="461D137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1,274,792,475</w:t>
            </w:r>
          </w:p>
        </w:tc>
        <w:tc>
          <w:tcPr>
            <w:tcW w:w="584" w:type="pct"/>
            <w:tcBorders>
              <w:top w:val="nil"/>
              <w:left w:val="nil"/>
              <w:bottom w:val="nil"/>
              <w:right w:val="single" w:sz="4" w:space="0" w:color="auto"/>
            </w:tcBorders>
            <w:hideMark/>
          </w:tcPr>
          <w:p w14:paraId="647F796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0961CD8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hideMark/>
          </w:tcPr>
          <w:p w14:paraId="0816446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hideMark/>
          </w:tcPr>
          <w:p w14:paraId="594A07A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3982E452" w14:textId="77777777" w:rsidTr="00CB04CD">
        <w:trPr>
          <w:trHeight w:val="20"/>
        </w:trPr>
        <w:tc>
          <w:tcPr>
            <w:tcW w:w="126" w:type="pct"/>
            <w:tcBorders>
              <w:top w:val="nil"/>
              <w:left w:val="single" w:sz="4" w:space="0" w:color="auto"/>
              <w:bottom w:val="nil"/>
              <w:right w:val="nil"/>
            </w:tcBorders>
            <w:noWrap/>
            <w:hideMark/>
          </w:tcPr>
          <w:p w14:paraId="034D3A1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44BAC53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L.</w:t>
            </w:r>
          </w:p>
        </w:tc>
        <w:tc>
          <w:tcPr>
            <w:tcW w:w="1179" w:type="pct"/>
            <w:tcBorders>
              <w:top w:val="nil"/>
              <w:left w:val="nil"/>
              <w:bottom w:val="nil"/>
              <w:right w:val="single" w:sz="4" w:space="0" w:color="auto"/>
            </w:tcBorders>
            <w:hideMark/>
          </w:tcPr>
          <w:p w14:paraId="4C2CE40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Otros Ingresos de Libre Disposición</w:t>
            </w:r>
          </w:p>
        </w:tc>
        <w:tc>
          <w:tcPr>
            <w:tcW w:w="423" w:type="pct"/>
            <w:tcBorders>
              <w:top w:val="nil"/>
              <w:left w:val="single" w:sz="4" w:space="0" w:color="auto"/>
              <w:bottom w:val="nil"/>
              <w:right w:val="single" w:sz="4" w:space="0" w:color="auto"/>
            </w:tcBorders>
            <w:hideMark/>
          </w:tcPr>
          <w:p w14:paraId="713442C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75,168,000</w:t>
            </w:r>
          </w:p>
        </w:tc>
        <w:tc>
          <w:tcPr>
            <w:tcW w:w="584" w:type="pct"/>
            <w:tcBorders>
              <w:top w:val="nil"/>
              <w:left w:val="nil"/>
              <w:bottom w:val="nil"/>
              <w:right w:val="single" w:sz="4" w:space="0" w:color="auto"/>
            </w:tcBorders>
            <w:hideMark/>
          </w:tcPr>
          <w:p w14:paraId="7CF361A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4,681,000</w:t>
            </w:r>
          </w:p>
        </w:tc>
        <w:tc>
          <w:tcPr>
            <w:tcW w:w="584" w:type="pct"/>
            <w:tcBorders>
              <w:top w:val="nil"/>
              <w:left w:val="nil"/>
              <w:bottom w:val="nil"/>
              <w:right w:val="single" w:sz="4" w:space="0" w:color="auto"/>
            </w:tcBorders>
            <w:hideMark/>
          </w:tcPr>
          <w:p w14:paraId="1FF7147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62,110,000</w:t>
            </w:r>
          </w:p>
        </w:tc>
        <w:tc>
          <w:tcPr>
            <w:tcW w:w="584" w:type="pct"/>
            <w:tcBorders>
              <w:top w:val="nil"/>
              <w:left w:val="nil"/>
              <w:bottom w:val="nil"/>
              <w:right w:val="single" w:sz="4" w:space="0" w:color="auto"/>
            </w:tcBorders>
            <w:hideMark/>
          </w:tcPr>
          <w:p w14:paraId="64D92BB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hideMark/>
          </w:tcPr>
          <w:p w14:paraId="7A6EE97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hideMark/>
          </w:tcPr>
          <w:p w14:paraId="0BFE655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0EB070E2" w14:textId="77777777" w:rsidTr="00CB04CD">
        <w:trPr>
          <w:trHeight w:val="20"/>
        </w:trPr>
        <w:tc>
          <w:tcPr>
            <w:tcW w:w="126" w:type="pct"/>
            <w:tcBorders>
              <w:top w:val="nil"/>
              <w:left w:val="single" w:sz="4" w:space="0" w:color="auto"/>
              <w:bottom w:val="nil"/>
              <w:right w:val="nil"/>
            </w:tcBorders>
            <w:noWrap/>
            <w:hideMark/>
          </w:tcPr>
          <w:p w14:paraId="6D7DE13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113633D5"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676F2A0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hideMark/>
          </w:tcPr>
          <w:p w14:paraId="2EAD0CF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3FD81EB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611E9C3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6E5C702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hideMark/>
          </w:tcPr>
          <w:p w14:paraId="6B47778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hideMark/>
          </w:tcPr>
          <w:p w14:paraId="2FC0B36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5D9F438D" w14:textId="77777777" w:rsidTr="00CB04CD">
        <w:trPr>
          <w:trHeight w:val="20"/>
        </w:trPr>
        <w:tc>
          <w:tcPr>
            <w:tcW w:w="126" w:type="pct"/>
            <w:tcBorders>
              <w:top w:val="nil"/>
              <w:left w:val="single" w:sz="4" w:space="0" w:color="auto"/>
              <w:bottom w:val="nil"/>
              <w:right w:val="nil"/>
            </w:tcBorders>
            <w:noWrap/>
            <w:hideMark/>
          </w:tcPr>
          <w:p w14:paraId="21E7537D"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2.</w:t>
            </w:r>
          </w:p>
        </w:tc>
        <w:tc>
          <w:tcPr>
            <w:tcW w:w="1332" w:type="pct"/>
            <w:gridSpan w:val="2"/>
            <w:tcBorders>
              <w:top w:val="nil"/>
              <w:left w:val="nil"/>
              <w:bottom w:val="nil"/>
              <w:right w:val="single" w:sz="4" w:space="0" w:color="000000"/>
            </w:tcBorders>
            <w:hideMark/>
          </w:tcPr>
          <w:p w14:paraId="427A9D87"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Transferencias Federales Etiquetadas</w:t>
            </w:r>
            <w:r w:rsidRPr="00E84DBE">
              <w:rPr>
                <w:rFonts w:eastAsia="Times New Roman" w:cs="Arial"/>
                <w:b/>
                <w:bCs/>
                <w:sz w:val="14"/>
                <w:szCs w:val="14"/>
                <w:lang w:eastAsia="es-MX"/>
              </w:rPr>
              <w:br/>
              <w:t>(2=A+B+C+D+E)</w:t>
            </w:r>
          </w:p>
        </w:tc>
        <w:tc>
          <w:tcPr>
            <w:tcW w:w="423" w:type="pct"/>
            <w:tcBorders>
              <w:top w:val="nil"/>
              <w:left w:val="single" w:sz="4" w:space="0" w:color="auto"/>
              <w:bottom w:val="nil"/>
              <w:right w:val="single" w:sz="4" w:space="0" w:color="auto"/>
            </w:tcBorders>
            <w:vAlign w:val="center"/>
            <w:hideMark/>
          </w:tcPr>
          <w:p w14:paraId="74FA29F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100,002,897,181</w:t>
            </w:r>
          </w:p>
        </w:tc>
        <w:tc>
          <w:tcPr>
            <w:tcW w:w="584" w:type="pct"/>
            <w:tcBorders>
              <w:top w:val="nil"/>
              <w:left w:val="nil"/>
              <w:bottom w:val="nil"/>
              <w:right w:val="single" w:sz="4" w:space="0" w:color="auto"/>
            </w:tcBorders>
            <w:vAlign w:val="center"/>
            <w:hideMark/>
          </w:tcPr>
          <w:p w14:paraId="3C2803F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103,582,207,816</w:t>
            </w:r>
          </w:p>
        </w:tc>
        <w:tc>
          <w:tcPr>
            <w:tcW w:w="584" w:type="pct"/>
            <w:tcBorders>
              <w:top w:val="nil"/>
              <w:left w:val="nil"/>
              <w:bottom w:val="nil"/>
              <w:right w:val="single" w:sz="4" w:space="0" w:color="auto"/>
            </w:tcBorders>
            <w:vAlign w:val="center"/>
            <w:hideMark/>
          </w:tcPr>
          <w:p w14:paraId="662C75C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97,498,736,071</w:t>
            </w:r>
          </w:p>
        </w:tc>
        <w:tc>
          <w:tcPr>
            <w:tcW w:w="584" w:type="pct"/>
            <w:tcBorders>
              <w:top w:val="nil"/>
              <w:left w:val="nil"/>
              <w:bottom w:val="nil"/>
              <w:right w:val="single" w:sz="4" w:space="0" w:color="auto"/>
            </w:tcBorders>
            <w:vAlign w:val="center"/>
            <w:hideMark/>
          </w:tcPr>
          <w:p w14:paraId="52AFB18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96,145,660,721</w:t>
            </w:r>
          </w:p>
        </w:tc>
        <w:tc>
          <w:tcPr>
            <w:tcW w:w="673" w:type="pct"/>
            <w:tcBorders>
              <w:top w:val="nil"/>
              <w:left w:val="nil"/>
              <w:bottom w:val="nil"/>
              <w:right w:val="single" w:sz="4" w:space="0" w:color="auto"/>
            </w:tcBorders>
            <w:vAlign w:val="center"/>
            <w:hideMark/>
          </w:tcPr>
          <w:p w14:paraId="393A7E8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97,577,856,690</w:t>
            </w:r>
          </w:p>
        </w:tc>
        <w:tc>
          <w:tcPr>
            <w:tcW w:w="694" w:type="pct"/>
            <w:tcBorders>
              <w:top w:val="nil"/>
              <w:left w:val="nil"/>
              <w:bottom w:val="nil"/>
              <w:right w:val="single" w:sz="4" w:space="0" w:color="auto"/>
            </w:tcBorders>
            <w:vAlign w:val="center"/>
            <w:hideMark/>
          </w:tcPr>
          <w:p w14:paraId="1413FB6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99,961,631,498</w:t>
            </w:r>
          </w:p>
        </w:tc>
      </w:tr>
      <w:tr w:rsidR="00CB04CD" w:rsidRPr="00E84DBE" w14:paraId="486AD2C1" w14:textId="77777777" w:rsidTr="00CB04CD">
        <w:trPr>
          <w:trHeight w:val="20"/>
        </w:trPr>
        <w:tc>
          <w:tcPr>
            <w:tcW w:w="126" w:type="pct"/>
            <w:tcBorders>
              <w:top w:val="nil"/>
              <w:left w:val="single" w:sz="4" w:space="0" w:color="auto"/>
              <w:bottom w:val="nil"/>
              <w:right w:val="nil"/>
            </w:tcBorders>
            <w:noWrap/>
            <w:hideMark/>
          </w:tcPr>
          <w:p w14:paraId="41EF6279"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17A1852A"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2A7E617E"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4D6EF25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452FB9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6E89EA5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BEF6DA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6B4DC6E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21D3763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2D23EA17" w14:textId="77777777" w:rsidTr="00CB04CD">
        <w:trPr>
          <w:trHeight w:val="20"/>
        </w:trPr>
        <w:tc>
          <w:tcPr>
            <w:tcW w:w="126" w:type="pct"/>
            <w:tcBorders>
              <w:top w:val="nil"/>
              <w:left w:val="single" w:sz="4" w:space="0" w:color="auto"/>
              <w:bottom w:val="nil"/>
              <w:right w:val="nil"/>
            </w:tcBorders>
            <w:noWrap/>
            <w:hideMark/>
          </w:tcPr>
          <w:p w14:paraId="4524077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124003E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179" w:type="pct"/>
            <w:tcBorders>
              <w:top w:val="nil"/>
              <w:left w:val="nil"/>
              <w:bottom w:val="nil"/>
              <w:right w:val="single" w:sz="4" w:space="0" w:color="auto"/>
            </w:tcBorders>
            <w:hideMark/>
          </w:tcPr>
          <w:p w14:paraId="3CE379C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Aportaciones</w:t>
            </w:r>
          </w:p>
        </w:tc>
        <w:tc>
          <w:tcPr>
            <w:tcW w:w="423" w:type="pct"/>
            <w:tcBorders>
              <w:top w:val="nil"/>
              <w:left w:val="single" w:sz="4" w:space="0" w:color="auto"/>
              <w:bottom w:val="nil"/>
              <w:right w:val="single" w:sz="4" w:space="0" w:color="auto"/>
            </w:tcBorders>
            <w:hideMark/>
          </w:tcPr>
          <w:p w14:paraId="7DC4C47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68,708,766,028</w:t>
            </w:r>
          </w:p>
        </w:tc>
        <w:tc>
          <w:tcPr>
            <w:tcW w:w="584" w:type="pct"/>
            <w:tcBorders>
              <w:top w:val="nil"/>
              <w:left w:val="nil"/>
              <w:bottom w:val="nil"/>
              <w:right w:val="single" w:sz="4" w:space="0" w:color="auto"/>
            </w:tcBorders>
            <w:hideMark/>
          </w:tcPr>
          <w:p w14:paraId="00B1703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73,068,977,291</w:t>
            </w:r>
          </w:p>
        </w:tc>
        <w:tc>
          <w:tcPr>
            <w:tcW w:w="584" w:type="pct"/>
            <w:tcBorders>
              <w:top w:val="nil"/>
              <w:left w:val="nil"/>
              <w:bottom w:val="nil"/>
              <w:right w:val="single" w:sz="4" w:space="0" w:color="auto"/>
            </w:tcBorders>
            <w:hideMark/>
          </w:tcPr>
          <w:p w14:paraId="322A619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78,663,943,055</w:t>
            </w:r>
          </w:p>
        </w:tc>
        <w:tc>
          <w:tcPr>
            <w:tcW w:w="584" w:type="pct"/>
            <w:tcBorders>
              <w:top w:val="nil"/>
              <w:left w:val="nil"/>
              <w:bottom w:val="nil"/>
              <w:right w:val="single" w:sz="4" w:space="0" w:color="auto"/>
            </w:tcBorders>
            <w:hideMark/>
          </w:tcPr>
          <w:p w14:paraId="1EEFC55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80,778,001,588</w:t>
            </w:r>
          </w:p>
        </w:tc>
        <w:tc>
          <w:tcPr>
            <w:tcW w:w="673" w:type="pct"/>
            <w:tcBorders>
              <w:top w:val="nil"/>
              <w:left w:val="nil"/>
              <w:bottom w:val="nil"/>
              <w:right w:val="single" w:sz="4" w:space="0" w:color="auto"/>
            </w:tcBorders>
            <w:hideMark/>
          </w:tcPr>
          <w:p w14:paraId="6F73536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82,342,231,812</w:t>
            </w:r>
          </w:p>
        </w:tc>
        <w:tc>
          <w:tcPr>
            <w:tcW w:w="694" w:type="pct"/>
            <w:tcBorders>
              <w:top w:val="nil"/>
              <w:left w:val="nil"/>
              <w:bottom w:val="nil"/>
              <w:right w:val="single" w:sz="4" w:space="0" w:color="auto"/>
            </w:tcBorders>
            <w:hideMark/>
          </w:tcPr>
          <w:p w14:paraId="36531A4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87,218,957,932</w:t>
            </w:r>
          </w:p>
        </w:tc>
      </w:tr>
      <w:tr w:rsidR="00CB04CD" w:rsidRPr="00E84DBE" w14:paraId="0D36BA42" w14:textId="77777777" w:rsidTr="00CB04CD">
        <w:trPr>
          <w:trHeight w:val="20"/>
        </w:trPr>
        <w:tc>
          <w:tcPr>
            <w:tcW w:w="126" w:type="pct"/>
            <w:tcBorders>
              <w:top w:val="nil"/>
              <w:left w:val="single" w:sz="4" w:space="0" w:color="auto"/>
              <w:bottom w:val="nil"/>
              <w:right w:val="nil"/>
            </w:tcBorders>
            <w:noWrap/>
            <w:hideMark/>
          </w:tcPr>
          <w:p w14:paraId="55D8351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6279B12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179" w:type="pct"/>
            <w:tcBorders>
              <w:top w:val="nil"/>
              <w:left w:val="nil"/>
              <w:bottom w:val="nil"/>
              <w:right w:val="single" w:sz="4" w:space="0" w:color="auto"/>
            </w:tcBorders>
            <w:hideMark/>
          </w:tcPr>
          <w:p w14:paraId="718E4AC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423" w:type="pct"/>
            <w:tcBorders>
              <w:top w:val="nil"/>
              <w:left w:val="single" w:sz="4" w:space="0" w:color="auto"/>
              <w:bottom w:val="nil"/>
              <w:right w:val="single" w:sz="4" w:space="0" w:color="auto"/>
            </w:tcBorders>
            <w:hideMark/>
          </w:tcPr>
          <w:p w14:paraId="7AD6DEA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6,543,743,705</w:t>
            </w:r>
          </w:p>
        </w:tc>
        <w:tc>
          <w:tcPr>
            <w:tcW w:w="584" w:type="pct"/>
            <w:tcBorders>
              <w:top w:val="nil"/>
              <w:left w:val="nil"/>
              <w:bottom w:val="nil"/>
              <w:right w:val="single" w:sz="4" w:space="0" w:color="auto"/>
            </w:tcBorders>
            <w:hideMark/>
          </w:tcPr>
          <w:p w14:paraId="20286EF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20,913,409,598</w:t>
            </w:r>
          </w:p>
        </w:tc>
        <w:tc>
          <w:tcPr>
            <w:tcW w:w="584" w:type="pct"/>
            <w:tcBorders>
              <w:top w:val="nil"/>
              <w:left w:val="nil"/>
              <w:bottom w:val="nil"/>
              <w:right w:val="single" w:sz="4" w:space="0" w:color="auto"/>
            </w:tcBorders>
            <w:hideMark/>
          </w:tcPr>
          <w:p w14:paraId="4A36639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12,307,700,245</w:t>
            </w:r>
          </w:p>
        </w:tc>
        <w:tc>
          <w:tcPr>
            <w:tcW w:w="584" w:type="pct"/>
            <w:tcBorders>
              <w:top w:val="nil"/>
              <w:left w:val="nil"/>
              <w:bottom w:val="nil"/>
              <w:right w:val="single" w:sz="4" w:space="0" w:color="auto"/>
            </w:tcBorders>
            <w:hideMark/>
          </w:tcPr>
          <w:p w14:paraId="2397212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11,014,311,149</w:t>
            </w:r>
          </w:p>
        </w:tc>
        <w:tc>
          <w:tcPr>
            <w:tcW w:w="673" w:type="pct"/>
            <w:tcBorders>
              <w:top w:val="nil"/>
              <w:left w:val="nil"/>
              <w:bottom w:val="nil"/>
              <w:right w:val="single" w:sz="4" w:space="0" w:color="auto"/>
            </w:tcBorders>
            <w:hideMark/>
          </w:tcPr>
          <w:p w14:paraId="77DF765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8,578,484,353</w:t>
            </w:r>
          </w:p>
        </w:tc>
        <w:tc>
          <w:tcPr>
            <w:tcW w:w="694" w:type="pct"/>
            <w:tcBorders>
              <w:top w:val="nil"/>
              <w:left w:val="nil"/>
              <w:bottom w:val="nil"/>
              <w:right w:val="single" w:sz="4" w:space="0" w:color="auto"/>
            </w:tcBorders>
            <w:hideMark/>
          </w:tcPr>
          <w:p w14:paraId="52CC932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8,515,355,533</w:t>
            </w:r>
          </w:p>
        </w:tc>
      </w:tr>
      <w:tr w:rsidR="00CB04CD" w:rsidRPr="00E84DBE" w14:paraId="73B0F813" w14:textId="77777777" w:rsidTr="00CB04CD">
        <w:trPr>
          <w:trHeight w:val="20"/>
        </w:trPr>
        <w:tc>
          <w:tcPr>
            <w:tcW w:w="126" w:type="pct"/>
            <w:tcBorders>
              <w:top w:val="nil"/>
              <w:left w:val="single" w:sz="4" w:space="0" w:color="auto"/>
              <w:bottom w:val="nil"/>
              <w:right w:val="nil"/>
            </w:tcBorders>
            <w:noWrap/>
            <w:hideMark/>
          </w:tcPr>
          <w:p w14:paraId="07941D1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82CCE2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179" w:type="pct"/>
            <w:tcBorders>
              <w:top w:val="nil"/>
              <w:left w:val="nil"/>
              <w:bottom w:val="nil"/>
              <w:right w:val="single" w:sz="4" w:space="0" w:color="auto"/>
            </w:tcBorders>
            <w:hideMark/>
          </w:tcPr>
          <w:p w14:paraId="49ED7CF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Fondos Distintos de Aportaciones</w:t>
            </w:r>
          </w:p>
        </w:tc>
        <w:tc>
          <w:tcPr>
            <w:tcW w:w="423" w:type="pct"/>
            <w:tcBorders>
              <w:top w:val="nil"/>
              <w:left w:val="single" w:sz="4" w:space="0" w:color="auto"/>
              <w:bottom w:val="nil"/>
              <w:right w:val="single" w:sz="4" w:space="0" w:color="auto"/>
            </w:tcBorders>
            <w:hideMark/>
          </w:tcPr>
          <w:p w14:paraId="36E0F96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hideMark/>
          </w:tcPr>
          <w:p w14:paraId="6FCD028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514,159,452</w:t>
            </w:r>
          </w:p>
        </w:tc>
        <w:tc>
          <w:tcPr>
            <w:tcW w:w="584" w:type="pct"/>
            <w:tcBorders>
              <w:top w:val="nil"/>
              <w:left w:val="nil"/>
              <w:bottom w:val="nil"/>
              <w:right w:val="single" w:sz="4" w:space="0" w:color="auto"/>
            </w:tcBorders>
            <w:hideMark/>
          </w:tcPr>
          <w:p w14:paraId="26E665D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922,926,207</w:t>
            </w:r>
          </w:p>
        </w:tc>
        <w:tc>
          <w:tcPr>
            <w:tcW w:w="584" w:type="pct"/>
            <w:tcBorders>
              <w:top w:val="nil"/>
              <w:left w:val="nil"/>
              <w:bottom w:val="nil"/>
              <w:right w:val="single" w:sz="4" w:space="0" w:color="auto"/>
            </w:tcBorders>
            <w:hideMark/>
          </w:tcPr>
          <w:p w14:paraId="6FDD7B2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25,759,750</w:t>
            </w:r>
          </w:p>
        </w:tc>
        <w:tc>
          <w:tcPr>
            <w:tcW w:w="673" w:type="pct"/>
            <w:tcBorders>
              <w:top w:val="nil"/>
              <w:left w:val="nil"/>
              <w:bottom w:val="nil"/>
              <w:right w:val="single" w:sz="4" w:space="0" w:color="auto"/>
            </w:tcBorders>
            <w:hideMark/>
          </w:tcPr>
          <w:p w14:paraId="1ECACB7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601,079,000</w:t>
            </w:r>
          </w:p>
        </w:tc>
        <w:tc>
          <w:tcPr>
            <w:tcW w:w="694" w:type="pct"/>
            <w:tcBorders>
              <w:top w:val="nil"/>
              <w:left w:val="nil"/>
              <w:bottom w:val="nil"/>
              <w:right w:val="single" w:sz="4" w:space="0" w:color="auto"/>
            </w:tcBorders>
            <w:hideMark/>
          </w:tcPr>
          <w:p w14:paraId="64ED03A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375ADD05" w14:textId="77777777" w:rsidTr="00CB04CD">
        <w:trPr>
          <w:trHeight w:val="20"/>
        </w:trPr>
        <w:tc>
          <w:tcPr>
            <w:tcW w:w="126" w:type="pct"/>
            <w:tcBorders>
              <w:top w:val="nil"/>
              <w:left w:val="single" w:sz="4" w:space="0" w:color="auto"/>
              <w:bottom w:val="nil"/>
              <w:right w:val="nil"/>
            </w:tcBorders>
            <w:noWrap/>
            <w:hideMark/>
          </w:tcPr>
          <w:p w14:paraId="6729E0C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4CA0C6B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179" w:type="pct"/>
            <w:tcBorders>
              <w:top w:val="nil"/>
              <w:left w:val="nil"/>
              <w:bottom w:val="nil"/>
              <w:right w:val="single" w:sz="4" w:space="0" w:color="auto"/>
            </w:tcBorders>
            <w:hideMark/>
          </w:tcPr>
          <w:p w14:paraId="4EF57DC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Transferencias, Asignaciones, Subsidios y Subvenciones, y Pensiones y Jubilaciones</w:t>
            </w:r>
          </w:p>
        </w:tc>
        <w:tc>
          <w:tcPr>
            <w:tcW w:w="423" w:type="pct"/>
            <w:tcBorders>
              <w:top w:val="nil"/>
              <w:left w:val="single" w:sz="4" w:space="0" w:color="auto"/>
              <w:bottom w:val="nil"/>
              <w:right w:val="single" w:sz="4" w:space="0" w:color="auto"/>
            </w:tcBorders>
            <w:vAlign w:val="center"/>
            <w:hideMark/>
          </w:tcPr>
          <w:p w14:paraId="3AE726D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945,413,000</w:t>
            </w:r>
          </w:p>
        </w:tc>
        <w:tc>
          <w:tcPr>
            <w:tcW w:w="584" w:type="pct"/>
            <w:tcBorders>
              <w:top w:val="nil"/>
              <w:left w:val="nil"/>
              <w:bottom w:val="nil"/>
              <w:right w:val="single" w:sz="4" w:space="0" w:color="auto"/>
            </w:tcBorders>
            <w:vAlign w:val="center"/>
            <w:hideMark/>
          </w:tcPr>
          <w:p w14:paraId="50C8EC8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7,800,932,000</w:t>
            </w:r>
          </w:p>
        </w:tc>
        <w:tc>
          <w:tcPr>
            <w:tcW w:w="584" w:type="pct"/>
            <w:tcBorders>
              <w:top w:val="nil"/>
              <w:left w:val="nil"/>
              <w:bottom w:val="nil"/>
              <w:right w:val="single" w:sz="4" w:space="0" w:color="auto"/>
            </w:tcBorders>
            <w:vAlign w:val="center"/>
            <w:hideMark/>
          </w:tcPr>
          <w:p w14:paraId="4725DCC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5,604,166,565</w:t>
            </w:r>
          </w:p>
        </w:tc>
        <w:tc>
          <w:tcPr>
            <w:tcW w:w="584" w:type="pct"/>
            <w:tcBorders>
              <w:top w:val="nil"/>
              <w:left w:val="nil"/>
              <w:bottom w:val="nil"/>
              <w:right w:val="single" w:sz="4" w:space="0" w:color="auto"/>
            </w:tcBorders>
            <w:vAlign w:val="center"/>
            <w:hideMark/>
          </w:tcPr>
          <w:p w14:paraId="1293251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4,327,588,234</w:t>
            </w:r>
          </w:p>
        </w:tc>
        <w:tc>
          <w:tcPr>
            <w:tcW w:w="673" w:type="pct"/>
            <w:tcBorders>
              <w:top w:val="nil"/>
              <w:left w:val="nil"/>
              <w:bottom w:val="nil"/>
              <w:right w:val="single" w:sz="4" w:space="0" w:color="auto"/>
            </w:tcBorders>
            <w:vAlign w:val="center"/>
            <w:hideMark/>
          </w:tcPr>
          <w:p w14:paraId="3203C88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6,056,061,525</w:t>
            </w:r>
          </w:p>
        </w:tc>
        <w:tc>
          <w:tcPr>
            <w:tcW w:w="694" w:type="pct"/>
            <w:tcBorders>
              <w:top w:val="nil"/>
              <w:left w:val="nil"/>
              <w:bottom w:val="nil"/>
              <w:right w:val="single" w:sz="4" w:space="0" w:color="auto"/>
            </w:tcBorders>
            <w:vAlign w:val="center"/>
            <w:hideMark/>
          </w:tcPr>
          <w:p w14:paraId="56312B6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4,227,318,034</w:t>
            </w:r>
          </w:p>
        </w:tc>
      </w:tr>
      <w:tr w:rsidR="00CB04CD" w:rsidRPr="00E84DBE" w14:paraId="787D0CFC" w14:textId="77777777" w:rsidTr="00CB04CD">
        <w:trPr>
          <w:trHeight w:val="20"/>
        </w:trPr>
        <w:tc>
          <w:tcPr>
            <w:tcW w:w="126" w:type="pct"/>
            <w:tcBorders>
              <w:top w:val="nil"/>
              <w:left w:val="single" w:sz="4" w:space="0" w:color="auto"/>
              <w:bottom w:val="nil"/>
              <w:right w:val="nil"/>
            </w:tcBorders>
            <w:noWrap/>
            <w:hideMark/>
          </w:tcPr>
          <w:p w14:paraId="33DDD10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5FA9971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179" w:type="pct"/>
            <w:tcBorders>
              <w:top w:val="nil"/>
              <w:left w:val="nil"/>
              <w:bottom w:val="nil"/>
              <w:right w:val="single" w:sz="4" w:space="0" w:color="auto"/>
            </w:tcBorders>
            <w:hideMark/>
          </w:tcPr>
          <w:p w14:paraId="0816567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Otras Transferencias Federales Etiquetadas</w:t>
            </w:r>
          </w:p>
        </w:tc>
        <w:tc>
          <w:tcPr>
            <w:tcW w:w="423" w:type="pct"/>
            <w:tcBorders>
              <w:top w:val="nil"/>
              <w:left w:val="single" w:sz="4" w:space="0" w:color="auto"/>
              <w:bottom w:val="nil"/>
              <w:right w:val="single" w:sz="4" w:space="0" w:color="auto"/>
            </w:tcBorders>
            <w:vAlign w:val="center"/>
            <w:hideMark/>
          </w:tcPr>
          <w:p w14:paraId="5C00493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23,804,974,448</w:t>
            </w:r>
          </w:p>
        </w:tc>
        <w:tc>
          <w:tcPr>
            <w:tcW w:w="584" w:type="pct"/>
            <w:tcBorders>
              <w:top w:val="nil"/>
              <w:left w:val="nil"/>
              <w:bottom w:val="nil"/>
              <w:right w:val="single" w:sz="4" w:space="0" w:color="auto"/>
            </w:tcBorders>
            <w:vAlign w:val="center"/>
            <w:hideMark/>
          </w:tcPr>
          <w:p w14:paraId="12063E2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1,284,729,475</w:t>
            </w:r>
          </w:p>
        </w:tc>
        <w:tc>
          <w:tcPr>
            <w:tcW w:w="584" w:type="pct"/>
            <w:tcBorders>
              <w:top w:val="nil"/>
              <w:left w:val="nil"/>
              <w:bottom w:val="nil"/>
              <w:right w:val="single" w:sz="4" w:space="0" w:color="auto"/>
            </w:tcBorders>
            <w:vAlign w:val="center"/>
            <w:hideMark/>
          </w:tcPr>
          <w:p w14:paraId="148ABF8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4" w:type="pct"/>
            <w:tcBorders>
              <w:top w:val="nil"/>
              <w:left w:val="nil"/>
              <w:bottom w:val="nil"/>
              <w:right w:val="single" w:sz="4" w:space="0" w:color="auto"/>
            </w:tcBorders>
            <w:vAlign w:val="center"/>
            <w:hideMark/>
          </w:tcPr>
          <w:p w14:paraId="29E2465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73" w:type="pct"/>
            <w:tcBorders>
              <w:top w:val="nil"/>
              <w:left w:val="nil"/>
              <w:bottom w:val="nil"/>
              <w:right w:val="single" w:sz="4" w:space="0" w:color="auto"/>
            </w:tcBorders>
            <w:vAlign w:val="center"/>
            <w:hideMark/>
          </w:tcPr>
          <w:p w14:paraId="68B1E04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94" w:type="pct"/>
            <w:tcBorders>
              <w:top w:val="nil"/>
              <w:left w:val="nil"/>
              <w:bottom w:val="nil"/>
              <w:right w:val="single" w:sz="4" w:space="0" w:color="auto"/>
            </w:tcBorders>
            <w:vAlign w:val="center"/>
            <w:hideMark/>
          </w:tcPr>
          <w:p w14:paraId="0AF51D9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490AC404" w14:textId="77777777" w:rsidTr="00CB04CD">
        <w:trPr>
          <w:trHeight w:val="20"/>
        </w:trPr>
        <w:tc>
          <w:tcPr>
            <w:tcW w:w="126" w:type="pct"/>
            <w:tcBorders>
              <w:top w:val="nil"/>
              <w:left w:val="single" w:sz="4" w:space="0" w:color="auto"/>
              <w:bottom w:val="nil"/>
              <w:right w:val="nil"/>
            </w:tcBorders>
            <w:noWrap/>
            <w:hideMark/>
          </w:tcPr>
          <w:p w14:paraId="7068054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61A02839"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5833F70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hideMark/>
          </w:tcPr>
          <w:p w14:paraId="5C98F66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73328B7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751E16B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1E5A88A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hideMark/>
          </w:tcPr>
          <w:p w14:paraId="1239599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hideMark/>
          </w:tcPr>
          <w:p w14:paraId="3D2ED76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3868302E" w14:textId="77777777" w:rsidTr="00CB04CD">
        <w:trPr>
          <w:trHeight w:val="20"/>
        </w:trPr>
        <w:tc>
          <w:tcPr>
            <w:tcW w:w="126" w:type="pct"/>
            <w:tcBorders>
              <w:top w:val="nil"/>
              <w:left w:val="single" w:sz="4" w:space="0" w:color="auto"/>
              <w:bottom w:val="nil"/>
              <w:right w:val="nil"/>
            </w:tcBorders>
            <w:noWrap/>
            <w:hideMark/>
          </w:tcPr>
          <w:p w14:paraId="3D0EA45F"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332" w:type="pct"/>
            <w:gridSpan w:val="2"/>
            <w:tcBorders>
              <w:top w:val="nil"/>
              <w:left w:val="nil"/>
              <w:bottom w:val="nil"/>
              <w:right w:val="single" w:sz="4" w:space="0" w:color="000000"/>
            </w:tcBorders>
            <w:hideMark/>
          </w:tcPr>
          <w:p w14:paraId="75C49EF5"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Financiamientos</w:t>
            </w:r>
            <w:r w:rsidRPr="00E84DBE">
              <w:rPr>
                <w:rFonts w:eastAsia="Times New Roman" w:cs="Arial"/>
                <w:b/>
                <w:bCs/>
                <w:sz w:val="14"/>
                <w:szCs w:val="14"/>
                <w:lang w:eastAsia="es-MX"/>
              </w:rPr>
              <w:br/>
              <w:t>(3= A)</w:t>
            </w:r>
          </w:p>
        </w:tc>
        <w:tc>
          <w:tcPr>
            <w:tcW w:w="423" w:type="pct"/>
            <w:tcBorders>
              <w:top w:val="nil"/>
              <w:left w:val="single" w:sz="4" w:space="0" w:color="auto"/>
              <w:bottom w:val="nil"/>
              <w:right w:val="single" w:sz="4" w:space="0" w:color="auto"/>
            </w:tcBorders>
            <w:vAlign w:val="center"/>
            <w:hideMark/>
          </w:tcPr>
          <w:p w14:paraId="1313240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6,507,512,600</w:t>
            </w:r>
          </w:p>
        </w:tc>
        <w:tc>
          <w:tcPr>
            <w:tcW w:w="584" w:type="pct"/>
            <w:tcBorders>
              <w:top w:val="nil"/>
              <w:left w:val="nil"/>
              <w:bottom w:val="nil"/>
              <w:right w:val="single" w:sz="4" w:space="0" w:color="auto"/>
            </w:tcBorders>
            <w:vAlign w:val="center"/>
            <w:hideMark/>
          </w:tcPr>
          <w:p w14:paraId="6059E04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39,846,667,000</w:t>
            </w:r>
          </w:p>
        </w:tc>
        <w:tc>
          <w:tcPr>
            <w:tcW w:w="584" w:type="pct"/>
            <w:tcBorders>
              <w:top w:val="nil"/>
              <w:left w:val="nil"/>
              <w:bottom w:val="nil"/>
              <w:right w:val="single" w:sz="4" w:space="0" w:color="auto"/>
            </w:tcBorders>
            <w:vAlign w:val="center"/>
            <w:hideMark/>
          </w:tcPr>
          <w:p w14:paraId="72FF004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22,963,401,000</w:t>
            </w:r>
          </w:p>
        </w:tc>
        <w:tc>
          <w:tcPr>
            <w:tcW w:w="584" w:type="pct"/>
            <w:tcBorders>
              <w:top w:val="nil"/>
              <w:left w:val="nil"/>
              <w:bottom w:val="nil"/>
              <w:right w:val="single" w:sz="4" w:space="0" w:color="auto"/>
            </w:tcBorders>
            <w:vAlign w:val="center"/>
            <w:hideMark/>
          </w:tcPr>
          <w:p w14:paraId="3BBA8BD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21,203,997,000</w:t>
            </w:r>
          </w:p>
        </w:tc>
        <w:tc>
          <w:tcPr>
            <w:tcW w:w="673" w:type="pct"/>
            <w:tcBorders>
              <w:top w:val="nil"/>
              <w:left w:val="nil"/>
              <w:bottom w:val="nil"/>
              <w:right w:val="single" w:sz="4" w:space="0" w:color="auto"/>
            </w:tcBorders>
            <w:vAlign w:val="center"/>
            <w:hideMark/>
          </w:tcPr>
          <w:p w14:paraId="7E94A90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24,652,204,000</w:t>
            </w:r>
          </w:p>
        </w:tc>
        <w:tc>
          <w:tcPr>
            <w:tcW w:w="694" w:type="pct"/>
            <w:tcBorders>
              <w:top w:val="nil"/>
              <w:left w:val="nil"/>
              <w:bottom w:val="nil"/>
              <w:right w:val="single" w:sz="4" w:space="0" w:color="auto"/>
            </w:tcBorders>
            <w:vAlign w:val="center"/>
            <w:hideMark/>
          </w:tcPr>
          <w:p w14:paraId="2825422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12,464,779,938</w:t>
            </w:r>
          </w:p>
        </w:tc>
      </w:tr>
      <w:tr w:rsidR="00CB04CD" w:rsidRPr="00E84DBE" w14:paraId="14700C7E" w14:textId="77777777" w:rsidTr="00CB04CD">
        <w:trPr>
          <w:trHeight w:val="20"/>
        </w:trPr>
        <w:tc>
          <w:tcPr>
            <w:tcW w:w="126" w:type="pct"/>
            <w:tcBorders>
              <w:top w:val="nil"/>
              <w:left w:val="single" w:sz="4" w:space="0" w:color="auto"/>
              <w:bottom w:val="nil"/>
              <w:right w:val="nil"/>
            </w:tcBorders>
            <w:noWrap/>
            <w:hideMark/>
          </w:tcPr>
          <w:p w14:paraId="100D3645"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65E7BB92"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0613CD53"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40B8913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3A8B1D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79BA84E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38973E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4B31150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3501784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1E28D5BD" w14:textId="77777777" w:rsidTr="00CB04CD">
        <w:trPr>
          <w:trHeight w:val="20"/>
        </w:trPr>
        <w:tc>
          <w:tcPr>
            <w:tcW w:w="126" w:type="pct"/>
            <w:tcBorders>
              <w:top w:val="nil"/>
              <w:left w:val="single" w:sz="4" w:space="0" w:color="auto"/>
              <w:bottom w:val="nil"/>
              <w:right w:val="nil"/>
            </w:tcBorders>
            <w:noWrap/>
            <w:hideMark/>
          </w:tcPr>
          <w:p w14:paraId="299C094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621DAC6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179" w:type="pct"/>
            <w:tcBorders>
              <w:top w:val="nil"/>
              <w:left w:val="nil"/>
              <w:bottom w:val="nil"/>
              <w:right w:val="single" w:sz="4" w:space="0" w:color="auto"/>
            </w:tcBorders>
            <w:hideMark/>
          </w:tcPr>
          <w:p w14:paraId="276BFF0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xml:space="preserve">Ingresos Derivados de Financiamientos </w:t>
            </w:r>
            <w:r w:rsidRPr="00E84DBE">
              <w:rPr>
                <w:rFonts w:eastAsia="Times New Roman" w:cs="Arial"/>
                <w:sz w:val="14"/>
                <w:szCs w:val="14"/>
                <w:vertAlign w:val="superscript"/>
                <w:lang w:eastAsia="es-MX"/>
              </w:rPr>
              <w:t>4</w:t>
            </w:r>
          </w:p>
        </w:tc>
        <w:tc>
          <w:tcPr>
            <w:tcW w:w="423" w:type="pct"/>
            <w:tcBorders>
              <w:top w:val="nil"/>
              <w:left w:val="single" w:sz="4" w:space="0" w:color="auto"/>
              <w:bottom w:val="nil"/>
              <w:right w:val="single" w:sz="4" w:space="0" w:color="auto"/>
            </w:tcBorders>
            <w:hideMark/>
          </w:tcPr>
          <w:p w14:paraId="752382E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6,507,512,600</w:t>
            </w:r>
          </w:p>
        </w:tc>
        <w:tc>
          <w:tcPr>
            <w:tcW w:w="584" w:type="pct"/>
            <w:tcBorders>
              <w:top w:val="nil"/>
              <w:left w:val="nil"/>
              <w:bottom w:val="nil"/>
              <w:right w:val="single" w:sz="4" w:space="0" w:color="auto"/>
            </w:tcBorders>
            <w:hideMark/>
          </w:tcPr>
          <w:p w14:paraId="6E63116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39,846,667,000</w:t>
            </w:r>
          </w:p>
        </w:tc>
        <w:tc>
          <w:tcPr>
            <w:tcW w:w="584" w:type="pct"/>
            <w:tcBorders>
              <w:top w:val="nil"/>
              <w:left w:val="nil"/>
              <w:bottom w:val="nil"/>
              <w:right w:val="single" w:sz="4" w:space="0" w:color="auto"/>
            </w:tcBorders>
            <w:hideMark/>
          </w:tcPr>
          <w:p w14:paraId="699F323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22,963,401,000</w:t>
            </w:r>
          </w:p>
        </w:tc>
        <w:tc>
          <w:tcPr>
            <w:tcW w:w="584" w:type="pct"/>
            <w:tcBorders>
              <w:top w:val="nil"/>
              <w:left w:val="nil"/>
              <w:bottom w:val="nil"/>
              <w:right w:val="single" w:sz="4" w:space="0" w:color="auto"/>
            </w:tcBorders>
            <w:hideMark/>
          </w:tcPr>
          <w:p w14:paraId="1B56892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21,203,997,000</w:t>
            </w:r>
          </w:p>
        </w:tc>
        <w:tc>
          <w:tcPr>
            <w:tcW w:w="673" w:type="pct"/>
            <w:tcBorders>
              <w:top w:val="nil"/>
              <w:left w:val="nil"/>
              <w:bottom w:val="nil"/>
              <w:right w:val="single" w:sz="4" w:space="0" w:color="auto"/>
            </w:tcBorders>
            <w:hideMark/>
          </w:tcPr>
          <w:p w14:paraId="61D86BD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24,652,204,000</w:t>
            </w:r>
          </w:p>
        </w:tc>
        <w:tc>
          <w:tcPr>
            <w:tcW w:w="694" w:type="pct"/>
            <w:tcBorders>
              <w:top w:val="nil"/>
              <w:left w:val="nil"/>
              <w:bottom w:val="nil"/>
              <w:right w:val="single" w:sz="4" w:space="0" w:color="auto"/>
            </w:tcBorders>
            <w:hideMark/>
          </w:tcPr>
          <w:p w14:paraId="46AE0CA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12,464,779,938</w:t>
            </w:r>
          </w:p>
        </w:tc>
      </w:tr>
      <w:tr w:rsidR="00CB04CD" w:rsidRPr="00E84DBE" w14:paraId="6CF183B7" w14:textId="77777777" w:rsidTr="00CB04CD">
        <w:trPr>
          <w:trHeight w:val="20"/>
        </w:trPr>
        <w:tc>
          <w:tcPr>
            <w:tcW w:w="126" w:type="pct"/>
            <w:tcBorders>
              <w:top w:val="nil"/>
              <w:left w:val="single" w:sz="4" w:space="0" w:color="auto"/>
              <w:bottom w:val="nil"/>
              <w:right w:val="nil"/>
            </w:tcBorders>
            <w:noWrap/>
            <w:hideMark/>
          </w:tcPr>
          <w:p w14:paraId="1F9C706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noWrap/>
            <w:hideMark/>
          </w:tcPr>
          <w:p w14:paraId="4F91EB5A"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2BFEA8C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hideMark/>
          </w:tcPr>
          <w:p w14:paraId="639E706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504BE90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0B378CC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hideMark/>
          </w:tcPr>
          <w:p w14:paraId="6D219DD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hideMark/>
          </w:tcPr>
          <w:p w14:paraId="3DB032B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hideMark/>
          </w:tcPr>
          <w:p w14:paraId="2B97785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428A1909" w14:textId="77777777" w:rsidTr="00CB04CD">
        <w:trPr>
          <w:trHeight w:val="20"/>
        </w:trPr>
        <w:tc>
          <w:tcPr>
            <w:tcW w:w="126" w:type="pct"/>
            <w:tcBorders>
              <w:top w:val="nil"/>
              <w:left w:val="single" w:sz="4" w:space="0" w:color="auto"/>
              <w:bottom w:val="nil"/>
              <w:right w:val="nil"/>
            </w:tcBorders>
            <w:noWrap/>
            <w:hideMark/>
          </w:tcPr>
          <w:p w14:paraId="0856EDF5"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4.</w:t>
            </w:r>
          </w:p>
        </w:tc>
        <w:tc>
          <w:tcPr>
            <w:tcW w:w="1332" w:type="pct"/>
            <w:gridSpan w:val="2"/>
            <w:tcBorders>
              <w:top w:val="nil"/>
              <w:left w:val="nil"/>
              <w:bottom w:val="nil"/>
              <w:right w:val="single" w:sz="4" w:space="0" w:color="000000"/>
            </w:tcBorders>
            <w:hideMark/>
          </w:tcPr>
          <w:p w14:paraId="09F387D4" w14:textId="4CDDE10E"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xml:space="preserve">Total de Ingresos </w:t>
            </w:r>
            <w:r w:rsidR="007B5104">
              <w:rPr>
                <w:rFonts w:eastAsia="Times New Roman" w:cs="Arial"/>
                <w:b/>
                <w:bCs/>
                <w:sz w:val="14"/>
                <w:szCs w:val="14"/>
                <w:lang w:eastAsia="es-MX"/>
              </w:rPr>
              <w:t>Observados/</w:t>
            </w:r>
            <w:r w:rsidRPr="00E84DBE">
              <w:rPr>
                <w:rFonts w:eastAsia="Times New Roman" w:cs="Arial"/>
                <w:b/>
                <w:bCs/>
                <w:sz w:val="14"/>
                <w:szCs w:val="14"/>
                <w:lang w:eastAsia="es-MX"/>
              </w:rPr>
              <w:t>Proyectado</w:t>
            </w:r>
            <w:r w:rsidRPr="00E84DBE">
              <w:rPr>
                <w:rFonts w:eastAsia="Times New Roman" w:cs="Arial"/>
                <w:b/>
                <w:bCs/>
                <w:sz w:val="14"/>
                <w:szCs w:val="14"/>
                <w:lang w:eastAsia="es-MX"/>
              </w:rPr>
              <w:br/>
              <w:t>(4=1+2+3)</w:t>
            </w:r>
          </w:p>
        </w:tc>
        <w:tc>
          <w:tcPr>
            <w:tcW w:w="423" w:type="pct"/>
            <w:tcBorders>
              <w:top w:val="nil"/>
              <w:left w:val="single" w:sz="4" w:space="0" w:color="auto"/>
              <w:bottom w:val="nil"/>
              <w:right w:val="single" w:sz="4" w:space="0" w:color="auto"/>
            </w:tcBorders>
            <w:vAlign w:val="center"/>
            <w:hideMark/>
          </w:tcPr>
          <w:p w14:paraId="5EAE8FD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291,013,541,415</w:t>
            </w:r>
          </w:p>
        </w:tc>
        <w:tc>
          <w:tcPr>
            <w:tcW w:w="584" w:type="pct"/>
            <w:tcBorders>
              <w:top w:val="nil"/>
              <w:left w:val="nil"/>
              <w:bottom w:val="nil"/>
              <w:right w:val="single" w:sz="4" w:space="0" w:color="auto"/>
            </w:tcBorders>
            <w:vAlign w:val="center"/>
            <w:hideMark/>
          </w:tcPr>
          <w:p w14:paraId="69D1951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343,224,657,326</w:t>
            </w:r>
          </w:p>
        </w:tc>
        <w:tc>
          <w:tcPr>
            <w:tcW w:w="584" w:type="pct"/>
            <w:tcBorders>
              <w:top w:val="nil"/>
              <w:left w:val="nil"/>
              <w:bottom w:val="nil"/>
              <w:right w:val="single" w:sz="4" w:space="0" w:color="auto"/>
            </w:tcBorders>
            <w:vAlign w:val="center"/>
            <w:hideMark/>
          </w:tcPr>
          <w:p w14:paraId="285210C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326,923,690,624</w:t>
            </w:r>
          </w:p>
        </w:tc>
        <w:tc>
          <w:tcPr>
            <w:tcW w:w="584" w:type="pct"/>
            <w:tcBorders>
              <w:top w:val="nil"/>
              <w:left w:val="nil"/>
              <w:bottom w:val="nil"/>
              <w:right w:val="single" w:sz="4" w:space="0" w:color="auto"/>
            </w:tcBorders>
            <w:vAlign w:val="center"/>
            <w:hideMark/>
          </w:tcPr>
          <w:p w14:paraId="6F59EE8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313,330,823,946</w:t>
            </w:r>
          </w:p>
        </w:tc>
        <w:tc>
          <w:tcPr>
            <w:tcW w:w="673" w:type="pct"/>
            <w:tcBorders>
              <w:top w:val="nil"/>
              <w:left w:val="nil"/>
              <w:bottom w:val="nil"/>
              <w:right w:val="single" w:sz="4" w:space="0" w:color="auto"/>
            </w:tcBorders>
            <w:vAlign w:val="center"/>
            <w:hideMark/>
          </w:tcPr>
          <w:p w14:paraId="68202A7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323,745,912,273</w:t>
            </w:r>
          </w:p>
        </w:tc>
        <w:tc>
          <w:tcPr>
            <w:tcW w:w="694" w:type="pct"/>
            <w:tcBorders>
              <w:top w:val="nil"/>
              <w:left w:val="nil"/>
              <w:bottom w:val="nil"/>
              <w:right w:val="single" w:sz="4" w:space="0" w:color="auto"/>
            </w:tcBorders>
            <w:vAlign w:val="center"/>
            <w:hideMark/>
          </w:tcPr>
          <w:p w14:paraId="3509583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326,247,260,671</w:t>
            </w:r>
          </w:p>
        </w:tc>
      </w:tr>
      <w:tr w:rsidR="00CB04CD" w:rsidRPr="00E84DBE" w14:paraId="1D70679D" w14:textId="77777777" w:rsidTr="00CB04CD">
        <w:trPr>
          <w:trHeight w:val="20"/>
        </w:trPr>
        <w:tc>
          <w:tcPr>
            <w:tcW w:w="126" w:type="pct"/>
            <w:tcBorders>
              <w:top w:val="nil"/>
              <w:left w:val="single" w:sz="4" w:space="0" w:color="auto"/>
              <w:bottom w:val="nil"/>
              <w:right w:val="nil"/>
            </w:tcBorders>
            <w:noWrap/>
            <w:hideMark/>
          </w:tcPr>
          <w:p w14:paraId="46EF4D0E"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hideMark/>
          </w:tcPr>
          <w:p w14:paraId="656BE34E"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hideMark/>
          </w:tcPr>
          <w:p w14:paraId="76FC23A4"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41F0318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6A8F81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B41467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623A30F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6D74F10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3A4FAB6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4B1E77D7" w14:textId="77777777" w:rsidTr="00CB04CD">
        <w:trPr>
          <w:trHeight w:val="20"/>
        </w:trPr>
        <w:tc>
          <w:tcPr>
            <w:tcW w:w="1458" w:type="pct"/>
            <w:gridSpan w:val="3"/>
            <w:tcBorders>
              <w:top w:val="nil"/>
              <w:left w:val="single" w:sz="4" w:space="0" w:color="auto"/>
              <w:bottom w:val="nil"/>
              <w:right w:val="single" w:sz="4" w:space="0" w:color="000000"/>
            </w:tcBorders>
            <w:noWrap/>
            <w:hideMark/>
          </w:tcPr>
          <w:p w14:paraId="7C43C4E7"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Datos Informativos</w:t>
            </w:r>
          </w:p>
        </w:tc>
        <w:tc>
          <w:tcPr>
            <w:tcW w:w="423" w:type="pct"/>
            <w:tcBorders>
              <w:top w:val="nil"/>
              <w:left w:val="single" w:sz="4" w:space="0" w:color="auto"/>
              <w:bottom w:val="nil"/>
              <w:right w:val="single" w:sz="4" w:space="0" w:color="auto"/>
            </w:tcBorders>
            <w:hideMark/>
          </w:tcPr>
          <w:p w14:paraId="4EE5CE1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611F87F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11B0F3F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4C8D0D25"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5A3E3548"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1F8EFA2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6FB166E0" w14:textId="77777777" w:rsidTr="00CB04CD">
        <w:trPr>
          <w:trHeight w:val="20"/>
        </w:trPr>
        <w:tc>
          <w:tcPr>
            <w:tcW w:w="126" w:type="pct"/>
            <w:tcBorders>
              <w:top w:val="nil"/>
              <w:left w:val="single" w:sz="4" w:space="0" w:color="auto"/>
              <w:bottom w:val="nil"/>
              <w:right w:val="nil"/>
            </w:tcBorders>
            <w:noWrap/>
            <w:hideMark/>
          </w:tcPr>
          <w:p w14:paraId="6AE84141"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153" w:type="pct"/>
            <w:noWrap/>
            <w:hideMark/>
          </w:tcPr>
          <w:p w14:paraId="6B1C45C2" w14:textId="77777777" w:rsidR="00CB04CD" w:rsidRPr="00E84DBE" w:rsidRDefault="00CB04CD">
            <w:pPr>
              <w:rPr>
                <w:rFonts w:eastAsia="Times New Roman" w:cs="Arial"/>
                <w:b/>
                <w:bCs/>
                <w:sz w:val="14"/>
                <w:szCs w:val="14"/>
                <w:lang w:eastAsia="es-MX"/>
              </w:rPr>
            </w:pPr>
          </w:p>
        </w:tc>
        <w:tc>
          <w:tcPr>
            <w:tcW w:w="1179" w:type="pct"/>
            <w:tcBorders>
              <w:top w:val="nil"/>
              <w:left w:val="nil"/>
              <w:bottom w:val="nil"/>
              <w:right w:val="single" w:sz="4" w:space="0" w:color="auto"/>
            </w:tcBorders>
            <w:noWrap/>
            <w:hideMark/>
          </w:tcPr>
          <w:p w14:paraId="36AD1A17"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 </w:t>
            </w:r>
          </w:p>
        </w:tc>
        <w:tc>
          <w:tcPr>
            <w:tcW w:w="423" w:type="pct"/>
            <w:tcBorders>
              <w:top w:val="nil"/>
              <w:left w:val="single" w:sz="4" w:space="0" w:color="auto"/>
              <w:bottom w:val="nil"/>
              <w:right w:val="single" w:sz="4" w:space="0" w:color="auto"/>
            </w:tcBorders>
            <w:hideMark/>
          </w:tcPr>
          <w:p w14:paraId="29CEAC8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78BCF45B"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03F72DF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584" w:type="pct"/>
            <w:tcBorders>
              <w:top w:val="nil"/>
              <w:left w:val="nil"/>
              <w:bottom w:val="nil"/>
              <w:right w:val="single" w:sz="4" w:space="0" w:color="auto"/>
            </w:tcBorders>
            <w:hideMark/>
          </w:tcPr>
          <w:p w14:paraId="3CAA12C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73" w:type="pct"/>
            <w:tcBorders>
              <w:top w:val="nil"/>
              <w:left w:val="nil"/>
              <w:bottom w:val="nil"/>
              <w:right w:val="single" w:sz="4" w:space="0" w:color="auto"/>
            </w:tcBorders>
            <w:hideMark/>
          </w:tcPr>
          <w:p w14:paraId="63A0084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c>
          <w:tcPr>
            <w:tcW w:w="694" w:type="pct"/>
            <w:tcBorders>
              <w:top w:val="nil"/>
              <w:left w:val="nil"/>
              <w:bottom w:val="nil"/>
              <w:right w:val="single" w:sz="4" w:space="0" w:color="auto"/>
            </w:tcBorders>
            <w:hideMark/>
          </w:tcPr>
          <w:p w14:paraId="0D6B7D45"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 </w:t>
            </w:r>
          </w:p>
        </w:tc>
      </w:tr>
      <w:tr w:rsidR="00CB04CD" w:rsidRPr="00E84DBE" w14:paraId="03FDF490" w14:textId="77777777" w:rsidTr="00CB04CD">
        <w:trPr>
          <w:trHeight w:val="20"/>
        </w:trPr>
        <w:tc>
          <w:tcPr>
            <w:tcW w:w="126" w:type="pct"/>
            <w:tcBorders>
              <w:top w:val="nil"/>
              <w:left w:val="single" w:sz="4" w:space="0" w:color="auto"/>
              <w:bottom w:val="nil"/>
              <w:right w:val="nil"/>
            </w:tcBorders>
            <w:noWrap/>
            <w:hideMark/>
          </w:tcPr>
          <w:p w14:paraId="03C4A30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1.</w:t>
            </w:r>
          </w:p>
        </w:tc>
        <w:tc>
          <w:tcPr>
            <w:tcW w:w="1332" w:type="pct"/>
            <w:gridSpan w:val="2"/>
            <w:tcBorders>
              <w:top w:val="nil"/>
              <w:left w:val="nil"/>
              <w:bottom w:val="nil"/>
              <w:right w:val="single" w:sz="4" w:space="0" w:color="000000"/>
            </w:tcBorders>
            <w:hideMark/>
          </w:tcPr>
          <w:p w14:paraId="29AEFC9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Recursos de Libre Disposición</w:t>
            </w:r>
          </w:p>
        </w:tc>
        <w:tc>
          <w:tcPr>
            <w:tcW w:w="423" w:type="pct"/>
            <w:tcBorders>
              <w:top w:val="nil"/>
              <w:left w:val="single" w:sz="4" w:space="0" w:color="auto"/>
              <w:bottom w:val="nil"/>
              <w:right w:val="single" w:sz="4" w:space="0" w:color="auto"/>
            </w:tcBorders>
            <w:shd w:val="clear" w:color="auto" w:fill="FFFFFF"/>
            <w:vAlign w:val="center"/>
            <w:hideMark/>
          </w:tcPr>
          <w:p w14:paraId="391C02E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2,507,512,600</w:t>
            </w:r>
          </w:p>
        </w:tc>
        <w:tc>
          <w:tcPr>
            <w:tcW w:w="584" w:type="pct"/>
            <w:tcBorders>
              <w:top w:val="nil"/>
              <w:left w:val="nil"/>
              <w:bottom w:val="nil"/>
              <w:right w:val="single" w:sz="4" w:space="0" w:color="auto"/>
            </w:tcBorders>
            <w:shd w:val="clear" w:color="auto" w:fill="FFFFFF"/>
            <w:vAlign w:val="center"/>
            <w:hideMark/>
          </w:tcPr>
          <w:p w14:paraId="02A8CCB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2,845,233,125</w:t>
            </w:r>
          </w:p>
        </w:tc>
        <w:tc>
          <w:tcPr>
            <w:tcW w:w="584" w:type="pct"/>
            <w:tcBorders>
              <w:top w:val="nil"/>
              <w:left w:val="nil"/>
              <w:bottom w:val="nil"/>
              <w:right w:val="single" w:sz="4" w:space="0" w:color="auto"/>
            </w:tcBorders>
            <w:shd w:val="clear" w:color="auto" w:fill="FFFFFF"/>
            <w:vAlign w:val="center"/>
            <w:hideMark/>
          </w:tcPr>
          <w:p w14:paraId="20C225B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19,862,101,073</w:t>
            </w:r>
          </w:p>
        </w:tc>
        <w:tc>
          <w:tcPr>
            <w:tcW w:w="584" w:type="pct"/>
            <w:tcBorders>
              <w:top w:val="nil"/>
              <w:left w:val="nil"/>
              <w:bottom w:val="nil"/>
              <w:right w:val="single" w:sz="4" w:space="0" w:color="auto"/>
            </w:tcBorders>
            <w:shd w:val="clear" w:color="auto" w:fill="FFFFFF"/>
            <w:vAlign w:val="center"/>
            <w:hideMark/>
          </w:tcPr>
          <w:p w14:paraId="532D3E1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16,251,754,808</w:t>
            </w:r>
          </w:p>
        </w:tc>
        <w:tc>
          <w:tcPr>
            <w:tcW w:w="673" w:type="pct"/>
            <w:tcBorders>
              <w:top w:val="nil"/>
              <w:left w:val="nil"/>
              <w:bottom w:val="nil"/>
              <w:right w:val="single" w:sz="4" w:space="0" w:color="auto"/>
            </w:tcBorders>
            <w:shd w:val="clear" w:color="auto" w:fill="FFFFFF"/>
            <w:vAlign w:val="center"/>
            <w:hideMark/>
          </w:tcPr>
          <w:p w14:paraId="09B3BEB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15,975,182,001</w:t>
            </w:r>
          </w:p>
        </w:tc>
        <w:tc>
          <w:tcPr>
            <w:tcW w:w="694" w:type="pct"/>
            <w:tcBorders>
              <w:top w:val="nil"/>
              <w:left w:val="nil"/>
              <w:bottom w:val="nil"/>
              <w:right w:val="single" w:sz="4" w:space="0" w:color="auto"/>
            </w:tcBorders>
            <w:shd w:val="clear" w:color="auto" w:fill="FFFFFF"/>
            <w:vAlign w:val="center"/>
            <w:hideMark/>
          </w:tcPr>
          <w:p w14:paraId="4FA83B7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10,663,949,332</w:t>
            </w:r>
          </w:p>
        </w:tc>
      </w:tr>
      <w:tr w:rsidR="00CB04CD" w:rsidRPr="00E84DBE" w14:paraId="4DBE83C1" w14:textId="77777777" w:rsidTr="00CB04CD">
        <w:trPr>
          <w:trHeight w:val="20"/>
        </w:trPr>
        <w:tc>
          <w:tcPr>
            <w:tcW w:w="126" w:type="pct"/>
            <w:tcBorders>
              <w:top w:val="nil"/>
              <w:left w:val="single" w:sz="4" w:space="0" w:color="auto"/>
              <w:bottom w:val="nil"/>
              <w:right w:val="nil"/>
            </w:tcBorders>
            <w:noWrap/>
            <w:hideMark/>
          </w:tcPr>
          <w:p w14:paraId="409BF1D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2.</w:t>
            </w:r>
          </w:p>
        </w:tc>
        <w:tc>
          <w:tcPr>
            <w:tcW w:w="1332" w:type="pct"/>
            <w:gridSpan w:val="2"/>
            <w:tcBorders>
              <w:top w:val="nil"/>
              <w:left w:val="nil"/>
              <w:bottom w:val="nil"/>
              <w:right w:val="single" w:sz="4" w:space="0" w:color="000000"/>
            </w:tcBorders>
            <w:hideMark/>
          </w:tcPr>
          <w:p w14:paraId="399A4B9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Transferencias Federales Etiquetadas</w:t>
            </w:r>
          </w:p>
        </w:tc>
        <w:tc>
          <w:tcPr>
            <w:tcW w:w="423" w:type="pct"/>
            <w:tcBorders>
              <w:top w:val="nil"/>
              <w:left w:val="single" w:sz="4" w:space="0" w:color="auto"/>
              <w:bottom w:val="nil"/>
              <w:right w:val="single" w:sz="4" w:space="0" w:color="auto"/>
            </w:tcBorders>
            <w:shd w:val="clear" w:color="auto" w:fill="FFFFFF"/>
            <w:vAlign w:val="center"/>
            <w:hideMark/>
          </w:tcPr>
          <w:p w14:paraId="6F52519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4,000,000,000</w:t>
            </w:r>
          </w:p>
        </w:tc>
        <w:tc>
          <w:tcPr>
            <w:tcW w:w="584" w:type="pct"/>
            <w:tcBorders>
              <w:top w:val="nil"/>
              <w:left w:val="nil"/>
              <w:bottom w:val="nil"/>
              <w:right w:val="single" w:sz="4" w:space="0" w:color="auto"/>
            </w:tcBorders>
            <w:shd w:val="clear" w:color="auto" w:fill="FFFFFF"/>
            <w:vAlign w:val="center"/>
            <w:hideMark/>
          </w:tcPr>
          <w:p w14:paraId="441206F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37,001,433,875</w:t>
            </w:r>
          </w:p>
        </w:tc>
        <w:tc>
          <w:tcPr>
            <w:tcW w:w="584" w:type="pct"/>
            <w:tcBorders>
              <w:top w:val="nil"/>
              <w:left w:val="nil"/>
              <w:bottom w:val="nil"/>
              <w:right w:val="single" w:sz="4" w:space="0" w:color="auto"/>
            </w:tcBorders>
            <w:shd w:val="clear" w:color="auto" w:fill="FFFFFF"/>
            <w:vAlign w:val="center"/>
            <w:hideMark/>
          </w:tcPr>
          <w:p w14:paraId="02A2399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3,101,299,927</w:t>
            </w:r>
          </w:p>
        </w:tc>
        <w:tc>
          <w:tcPr>
            <w:tcW w:w="584" w:type="pct"/>
            <w:tcBorders>
              <w:top w:val="nil"/>
              <w:left w:val="nil"/>
              <w:bottom w:val="nil"/>
              <w:right w:val="single" w:sz="4" w:space="0" w:color="auto"/>
            </w:tcBorders>
            <w:shd w:val="clear" w:color="auto" w:fill="FFFFFF"/>
            <w:vAlign w:val="center"/>
            <w:hideMark/>
          </w:tcPr>
          <w:p w14:paraId="2487A24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4,952,242,192</w:t>
            </w:r>
          </w:p>
        </w:tc>
        <w:tc>
          <w:tcPr>
            <w:tcW w:w="673" w:type="pct"/>
            <w:tcBorders>
              <w:top w:val="nil"/>
              <w:left w:val="nil"/>
              <w:bottom w:val="nil"/>
              <w:right w:val="single" w:sz="4" w:space="0" w:color="auto"/>
            </w:tcBorders>
            <w:shd w:val="clear" w:color="auto" w:fill="FFFFFF"/>
            <w:vAlign w:val="center"/>
            <w:hideMark/>
          </w:tcPr>
          <w:p w14:paraId="026A656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8,677,021,999</w:t>
            </w:r>
          </w:p>
        </w:tc>
        <w:tc>
          <w:tcPr>
            <w:tcW w:w="694" w:type="pct"/>
            <w:tcBorders>
              <w:top w:val="nil"/>
              <w:left w:val="nil"/>
              <w:bottom w:val="nil"/>
              <w:right w:val="single" w:sz="4" w:space="0" w:color="auto"/>
            </w:tcBorders>
            <w:shd w:val="clear" w:color="auto" w:fill="FFFFFF"/>
            <w:vAlign w:val="center"/>
            <w:hideMark/>
          </w:tcPr>
          <w:p w14:paraId="46BFF8F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1,800,830,606</w:t>
            </w:r>
          </w:p>
        </w:tc>
      </w:tr>
      <w:tr w:rsidR="00CB04CD" w:rsidRPr="00E84DBE" w14:paraId="65AD5278" w14:textId="77777777" w:rsidTr="00CB04CD">
        <w:trPr>
          <w:trHeight w:val="20"/>
        </w:trPr>
        <w:tc>
          <w:tcPr>
            <w:tcW w:w="126" w:type="pct"/>
            <w:tcBorders>
              <w:top w:val="nil"/>
              <w:left w:val="single" w:sz="4" w:space="0" w:color="auto"/>
              <w:bottom w:val="nil"/>
              <w:right w:val="nil"/>
            </w:tcBorders>
            <w:noWrap/>
            <w:hideMark/>
          </w:tcPr>
          <w:p w14:paraId="20D16F2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hideMark/>
          </w:tcPr>
          <w:p w14:paraId="1DA24EE4" w14:textId="77777777" w:rsidR="00CB04CD" w:rsidRPr="00E84DBE" w:rsidRDefault="00CB04CD">
            <w:pPr>
              <w:rPr>
                <w:rFonts w:eastAsia="Times New Roman" w:cs="Arial"/>
                <w:sz w:val="14"/>
                <w:szCs w:val="14"/>
                <w:lang w:eastAsia="es-MX"/>
              </w:rPr>
            </w:pPr>
          </w:p>
        </w:tc>
        <w:tc>
          <w:tcPr>
            <w:tcW w:w="1179" w:type="pct"/>
            <w:tcBorders>
              <w:top w:val="nil"/>
              <w:left w:val="nil"/>
              <w:bottom w:val="nil"/>
              <w:right w:val="single" w:sz="4" w:space="0" w:color="auto"/>
            </w:tcBorders>
            <w:hideMark/>
          </w:tcPr>
          <w:p w14:paraId="76B92FE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nil"/>
              <w:right w:val="single" w:sz="4" w:space="0" w:color="auto"/>
            </w:tcBorders>
            <w:shd w:val="clear" w:color="auto" w:fill="FFFFFF"/>
            <w:hideMark/>
          </w:tcPr>
          <w:p w14:paraId="396ECDA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shd w:val="clear" w:color="auto" w:fill="FFFFFF"/>
            <w:hideMark/>
          </w:tcPr>
          <w:p w14:paraId="6AD3CCA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shd w:val="clear" w:color="auto" w:fill="FFFFFF"/>
            <w:hideMark/>
          </w:tcPr>
          <w:p w14:paraId="5A5E950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nil"/>
              <w:right w:val="single" w:sz="4" w:space="0" w:color="auto"/>
            </w:tcBorders>
            <w:shd w:val="clear" w:color="auto" w:fill="FFFFFF"/>
            <w:hideMark/>
          </w:tcPr>
          <w:p w14:paraId="79882BA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nil"/>
              <w:right w:val="single" w:sz="4" w:space="0" w:color="auto"/>
            </w:tcBorders>
            <w:shd w:val="clear" w:color="auto" w:fill="FFFFFF"/>
            <w:hideMark/>
          </w:tcPr>
          <w:p w14:paraId="77FF4DA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nil"/>
              <w:right w:val="single" w:sz="4" w:space="0" w:color="auto"/>
            </w:tcBorders>
            <w:shd w:val="clear" w:color="auto" w:fill="FFFFFF"/>
            <w:hideMark/>
          </w:tcPr>
          <w:p w14:paraId="1853E60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73E10FEC" w14:textId="77777777" w:rsidTr="00CB04CD">
        <w:trPr>
          <w:trHeight w:val="20"/>
        </w:trPr>
        <w:tc>
          <w:tcPr>
            <w:tcW w:w="126" w:type="pct"/>
            <w:tcBorders>
              <w:top w:val="nil"/>
              <w:left w:val="single" w:sz="4" w:space="0" w:color="auto"/>
              <w:bottom w:val="nil"/>
              <w:right w:val="nil"/>
            </w:tcBorders>
            <w:noWrap/>
            <w:hideMark/>
          </w:tcPr>
          <w:p w14:paraId="4541A5F4"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332" w:type="pct"/>
            <w:gridSpan w:val="2"/>
            <w:tcBorders>
              <w:top w:val="nil"/>
              <w:left w:val="nil"/>
              <w:bottom w:val="nil"/>
              <w:right w:val="single" w:sz="4" w:space="0" w:color="000000"/>
            </w:tcBorders>
            <w:hideMark/>
          </w:tcPr>
          <w:p w14:paraId="02884BC0"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Derivados de Financiamiento</w:t>
            </w:r>
            <w:r w:rsidRPr="00E84DBE">
              <w:rPr>
                <w:rFonts w:eastAsia="Times New Roman" w:cs="Arial"/>
                <w:b/>
                <w:bCs/>
                <w:sz w:val="14"/>
                <w:szCs w:val="14"/>
                <w:lang w:eastAsia="es-MX"/>
              </w:rPr>
              <w:br/>
              <w:t>(3=1+2)</w:t>
            </w:r>
          </w:p>
        </w:tc>
        <w:tc>
          <w:tcPr>
            <w:tcW w:w="423" w:type="pct"/>
            <w:tcBorders>
              <w:top w:val="nil"/>
              <w:left w:val="single" w:sz="4" w:space="0" w:color="auto"/>
              <w:bottom w:val="nil"/>
              <w:right w:val="single" w:sz="4" w:space="0" w:color="auto"/>
            </w:tcBorders>
            <w:vAlign w:val="center"/>
            <w:hideMark/>
          </w:tcPr>
          <w:p w14:paraId="41CEAA8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6,507,512,600</w:t>
            </w:r>
          </w:p>
        </w:tc>
        <w:tc>
          <w:tcPr>
            <w:tcW w:w="584" w:type="pct"/>
            <w:tcBorders>
              <w:top w:val="nil"/>
              <w:left w:val="nil"/>
              <w:bottom w:val="nil"/>
              <w:right w:val="single" w:sz="4" w:space="0" w:color="auto"/>
            </w:tcBorders>
            <w:vAlign w:val="center"/>
            <w:hideMark/>
          </w:tcPr>
          <w:p w14:paraId="3070526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39,846,667,000</w:t>
            </w:r>
          </w:p>
        </w:tc>
        <w:tc>
          <w:tcPr>
            <w:tcW w:w="584" w:type="pct"/>
            <w:tcBorders>
              <w:top w:val="nil"/>
              <w:left w:val="nil"/>
              <w:bottom w:val="nil"/>
              <w:right w:val="single" w:sz="4" w:space="0" w:color="auto"/>
            </w:tcBorders>
            <w:vAlign w:val="center"/>
            <w:hideMark/>
          </w:tcPr>
          <w:p w14:paraId="6016696C"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22,963,401,000</w:t>
            </w:r>
          </w:p>
        </w:tc>
        <w:tc>
          <w:tcPr>
            <w:tcW w:w="584" w:type="pct"/>
            <w:tcBorders>
              <w:top w:val="nil"/>
              <w:left w:val="nil"/>
              <w:bottom w:val="nil"/>
              <w:right w:val="single" w:sz="4" w:space="0" w:color="auto"/>
            </w:tcBorders>
            <w:vAlign w:val="center"/>
            <w:hideMark/>
          </w:tcPr>
          <w:p w14:paraId="56D747EC"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21,203,997,000</w:t>
            </w:r>
          </w:p>
        </w:tc>
        <w:tc>
          <w:tcPr>
            <w:tcW w:w="673" w:type="pct"/>
            <w:tcBorders>
              <w:top w:val="nil"/>
              <w:left w:val="nil"/>
              <w:bottom w:val="nil"/>
              <w:right w:val="single" w:sz="4" w:space="0" w:color="auto"/>
            </w:tcBorders>
            <w:vAlign w:val="center"/>
            <w:hideMark/>
          </w:tcPr>
          <w:p w14:paraId="1BEF13F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24,652,204,000</w:t>
            </w:r>
          </w:p>
        </w:tc>
        <w:tc>
          <w:tcPr>
            <w:tcW w:w="694" w:type="pct"/>
            <w:tcBorders>
              <w:top w:val="nil"/>
              <w:left w:val="nil"/>
              <w:bottom w:val="nil"/>
              <w:right w:val="single" w:sz="4" w:space="0" w:color="auto"/>
            </w:tcBorders>
            <w:vAlign w:val="center"/>
            <w:hideMark/>
          </w:tcPr>
          <w:p w14:paraId="3DDD751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12,464,779,938</w:t>
            </w:r>
          </w:p>
        </w:tc>
      </w:tr>
      <w:tr w:rsidR="00CB04CD" w:rsidRPr="00E84DBE" w14:paraId="3F9E700C" w14:textId="77777777" w:rsidTr="00CB04CD">
        <w:trPr>
          <w:trHeight w:val="20"/>
        </w:trPr>
        <w:tc>
          <w:tcPr>
            <w:tcW w:w="126" w:type="pct"/>
            <w:tcBorders>
              <w:top w:val="nil"/>
              <w:left w:val="single" w:sz="4" w:space="0" w:color="auto"/>
              <w:bottom w:val="single" w:sz="4" w:space="0" w:color="auto"/>
              <w:right w:val="nil"/>
            </w:tcBorders>
            <w:noWrap/>
            <w:hideMark/>
          </w:tcPr>
          <w:p w14:paraId="1C2CCF8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53" w:type="pct"/>
            <w:tcBorders>
              <w:top w:val="nil"/>
              <w:left w:val="nil"/>
              <w:bottom w:val="single" w:sz="4" w:space="0" w:color="auto"/>
              <w:right w:val="nil"/>
            </w:tcBorders>
            <w:noWrap/>
            <w:hideMark/>
          </w:tcPr>
          <w:p w14:paraId="7E21BB5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179" w:type="pct"/>
            <w:tcBorders>
              <w:top w:val="nil"/>
              <w:left w:val="nil"/>
              <w:bottom w:val="single" w:sz="4" w:space="0" w:color="auto"/>
              <w:right w:val="single" w:sz="4" w:space="0" w:color="auto"/>
            </w:tcBorders>
            <w:hideMark/>
          </w:tcPr>
          <w:p w14:paraId="6F1BED6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423" w:type="pct"/>
            <w:tcBorders>
              <w:top w:val="nil"/>
              <w:left w:val="single" w:sz="4" w:space="0" w:color="auto"/>
              <w:bottom w:val="single" w:sz="4" w:space="0" w:color="auto"/>
              <w:right w:val="single" w:sz="4" w:space="0" w:color="auto"/>
            </w:tcBorders>
            <w:hideMark/>
          </w:tcPr>
          <w:p w14:paraId="1D6EDC9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single" w:sz="4" w:space="0" w:color="auto"/>
              <w:right w:val="single" w:sz="4" w:space="0" w:color="auto"/>
            </w:tcBorders>
            <w:hideMark/>
          </w:tcPr>
          <w:p w14:paraId="4111367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single" w:sz="4" w:space="0" w:color="auto"/>
              <w:right w:val="single" w:sz="4" w:space="0" w:color="auto"/>
            </w:tcBorders>
            <w:hideMark/>
          </w:tcPr>
          <w:p w14:paraId="4C625F9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4" w:type="pct"/>
            <w:tcBorders>
              <w:top w:val="nil"/>
              <w:left w:val="nil"/>
              <w:bottom w:val="single" w:sz="4" w:space="0" w:color="auto"/>
              <w:right w:val="single" w:sz="4" w:space="0" w:color="auto"/>
            </w:tcBorders>
            <w:hideMark/>
          </w:tcPr>
          <w:p w14:paraId="74FB370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73" w:type="pct"/>
            <w:tcBorders>
              <w:top w:val="nil"/>
              <w:left w:val="nil"/>
              <w:bottom w:val="single" w:sz="4" w:space="0" w:color="auto"/>
              <w:right w:val="single" w:sz="4" w:space="0" w:color="auto"/>
            </w:tcBorders>
            <w:hideMark/>
          </w:tcPr>
          <w:p w14:paraId="647B8A7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94" w:type="pct"/>
            <w:tcBorders>
              <w:top w:val="nil"/>
              <w:left w:val="nil"/>
              <w:bottom w:val="single" w:sz="4" w:space="0" w:color="auto"/>
              <w:right w:val="single" w:sz="4" w:space="0" w:color="auto"/>
            </w:tcBorders>
            <w:hideMark/>
          </w:tcPr>
          <w:p w14:paraId="727CFA6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16A54546" w14:textId="77777777" w:rsidTr="00CB04CD">
        <w:trPr>
          <w:trHeight w:val="20"/>
        </w:trPr>
        <w:tc>
          <w:tcPr>
            <w:tcW w:w="5000" w:type="pct"/>
            <w:gridSpan w:val="9"/>
            <w:tcBorders>
              <w:top w:val="single" w:sz="4" w:space="0" w:color="auto"/>
              <w:left w:val="nil"/>
              <w:bottom w:val="nil"/>
              <w:right w:val="nil"/>
            </w:tcBorders>
            <w:noWrap/>
            <w:hideMark/>
          </w:tcPr>
          <w:p w14:paraId="3C3D4C4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1</w:t>
            </w:r>
            <w:r w:rsidRPr="00E84DBE">
              <w:rPr>
                <w:rFonts w:eastAsia="Times New Roman" w:cs="Arial"/>
                <w:sz w:val="14"/>
                <w:szCs w:val="14"/>
                <w:lang w:eastAsia="es-MX"/>
              </w:rPr>
              <w:t xml:space="preserve"> Los importes corresponden al momento contable de los ingresos devengados.</w:t>
            </w:r>
          </w:p>
        </w:tc>
      </w:tr>
      <w:tr w:rsidR="00CB04CD" w:rsidRPr="00E84DBE" w14:paraId="2B6767D5" w14:textId="77777777" w:rsidTr="00CB04CD">
        <w:trPr>
          <w:trHeight w:val="20"/>
        </w:trPr>
        <w:tc>
          <w:tcPr>
            <w:tcW w:w="5000" w:type="pct"/>
            <w:gridSpan w:val="9"/>
            <w:shd w:val="clear" w:color="auto" w:fill="FFFFFF"/>
            <w:noWrap/>
            <w:hideMark/>
          </w:tcPr>
          <w:p w14:paraId="5D5F485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2</w:t>
            </w:r>
            <w:r w:rsidRPr="00E84DBE">
              <w:rPr>
                <w:rFonts w:eastAsia="Times New Roman" w:cs="Arial"/>
                <w:sz w:val="14"/>
                <w:szCs w:val="14"/>
                <w:lang w:eastAsia="es-MX"/>
              </w:rPr>
              <w:t xml:space="preserve"> Los importes corresponden a los ingresos devengados al cierre trimestral más reciente disponible y estimados para el resto del ejercicio.</w:t>
            </w:r>
          </w:p>
        </w:tc>
      </w:tr>
      <w:tr w:rsidR="00CB04CD" w:rsidRPr="00E84DBE" w14:paraId="6261B691" w14:textId="77777777" w:rsidTr="00CB04CD">
        <w:trPr>
          <w:trHeight w:val="20"/>
        </w:trPr>
        <w:tc>
          <w:tcPr>
            <w:tcW w:w="5000" w:type="pct"/>
            <w:gridSpan w:val="9"/>
            <w:shd w:val="clear" w:color="auto" w:fill="FFFFFF"/>
            <w:noWrap/>
            <w:hideMark/>
          </w:tcPr>
          <w:p w14:paraId="390726A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3</w:t>
            </w:r>
            <w:r w:rsidRPr="00E84DBE">
              <w:rPr>
                <w:rFonts w:eastAsia="Times New Roman" w:cs="Arial"/>
                <w:sz w:val="14"/>
                <w:szCs w:val="14"/>
                <w:lang w:eastAsia="es-MX"/>
              </w:rPr>
              <w:t xml:space="preserve"> Para los ejercicios 2019, 2020, 2021 y 2022 se incluye el Fondo de Estabilización de las Entidades Federativas.</w:t>
            </w:r>
          </w:p>
        </w:tc>
      </w:tr>
      <w:tr w:rsidR="00CB04CD" w:rsidRPr="00E84DBE" w14:paraId="48FCD2BD" w14:textId="77777777" w:rsidTr="00CB04CD">
        <w:trPr>
          <w:trHeight w:val="20"/>
        </w:trPr>
        <w:tc>
          <w:tcPr>
            <w:tcW w:w="5000" w:type="pct"/>
            <w:gridSpan w:val="9"/>
            <w:shd w:val="clear" w:color="auto" w:fill="FFFFFF"/>
            <w:noWrap/>
            <w:hideMark/>
          </w:tcPr>
          <w:p w14:paraId="59A5CED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vertAlign w:val="superscript"/>
                <w:lang w:eastAsia="es-MX"/>
              </w:rPr>
              <w:t>4</w:t>
            </w:r>
            <w:r w:rsidRPr="00E84DBE">
              <w:rPr>
                <w:rFonts w:eastAsia="Times New Roman" w:cs="Arial"/>
                <w:sz w:val="14"/>
                <w:szCs w:val="14"/>
                <w:lang w:eastAsia="es-MX"/>
              </w:rPr>
              <w:t xml:space="preserve"> Para el año 2022 se considera el importe autorizado en la Ley de Ingresos del Estado de México para el ejercicio fiscal 2022.</w:t>
            </w:r>
          </w:p>
        </w:tc>
      </w:tr>
    </w:tbl>
    <w:p w14:paraId="262D8530" w14:textId="77777777" w:rsidR="00CB04CD" w:rsidRPr="004A7C5F" w:rsidRDefault="00CB04CD" w:rsidP="00CB04CD">
      <w:pPr>
        <w:jc w:val="center"/>
        <w:rPr>
          <w:b/>
          <w:sz w:val="20"/>
        </w:rPr>
      </w:pPr>
    </w:p>
    <w:p w14:paraId="3B5B44D3" w14:textId="77777777" w:rsidR="00CB04CD" w:rsidRPr="00E84DBE" w:rsidRDefault="00CB04CD" w:rsidP="00CB04CD">
      <w:pPr>
        <w:jc w:val="center"/>
        <w:rPr>
          <w:b/>
          <w:bCs/>
          <w:sz w:val="20"/>
          <w:szCs w:val="20"/>
        </w:rPr>
      </w:pPr>
      <w:r w:rsidRPr="00E84DBE">
        <w:rPr>
          <w:b/>
          <w:bCs/>
          <w:sz w:val="20"/>
          <w:szCs w:val="20"/>
        </w:rPr>
        <w:t xml:space="preserve">Formato 7 a) Proyecciones de Ingresos-LDF </w:t>
      </w:r>
    </w:p>
    <w:tbl>
      <w:tblPr>
        <w:tblpPr w:leftFromText="141" w:rightFromText="141" w:bottomFromText="160" w:vertAnchor="text" w:horzAnchor="margin" w:tblpXSpec="center" w:tblpY="99"/>
        <w:tblW w:w="5837" w:type="pct"/>
        <w:tblCellMar>
          <w:left w:w="70" w:type="dxa"/>
          <w:right w:w="70" w:type="dxa"/>
        </w:tblCellMar>
        <w:tblLook w:val="04A0" w:firstRow="1" w:lastRow="0" w:firstColumn="1" w:lastColumn="0" w:noHBand="0" w:noVBand="1"/>
      </w:tblPr>
      <w:tblGrid>
        <w:gridCol w:w="433"/>
        <w:gridCol w:w="306"/>
        <w:gridCol w:w="2258"/>
        <w:gridCol w:w="1218"/>
        <w:gridCol w:w="1218"/>
        <w:gridCol w:w="1218"/>
        <w:gridCol w:w="1218"/>
        <w:gridCol w:w="1218"/>
        <w:gridCol w:w="1394"/>
      </w:tblGrid>
      <w:tr w:rsidR="00CB04CD" w:rsidRPr="00E84DBE" w14:paraId="4B91F3D8" w14:textId="77777777" w:rsidTr="00CB04CD">
        <w:trPr>
          <w:trHeight w:val="227"/>
        </w:trPr>
        <w:tc>
          <w:tcPr>
            <w:tcW w:w="5000" w:type="pct"/>
            <w:gridSpan w:val="9"/>
            <w:tcBorders>
              <w:top w:val="single" w:sz="4" w:space="0" w:color="auto"/>
              <w:left w:val="single" w:sz="4" w:space="0" w:color="auto"/>
              <w:bottom w:val="nil"/>
              <w:right w:val="single" w:sz="4" w:space="0" w:color="000000"/>
            </w:tcBorders>
            <w:shd w:val="clear" w:color="auto" w:fill="D9D9D9"/>
            <w:noWrap/>
            <w:hideMark/>
          </w:tcPr>
          <w:p w14:paraId="376C29F2"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ESTADO DE MÉXICO</w:t>
            </w:r>
          </w:p>
        </w:tc>
      </w:tr>
      <w:tr w:rsidR="00CB04CD" w:rsidRPr="00E84DBE" w14:paraId="11C3E32C" w14:textId="77777777" w:rsidTr="00CB04CD">
        <w:trPr>
          <w:trHeight w:val="227"/>
        </w:trPr>
        <w:tc>
          <w:tcPr>
            <w:tcW w:w="5000" w:type="pct"/>
            <w:gridSpan w:val="9"/>
            <w:tcBorders>
              <w:top w:val="nil"/>
              <w:left w:val="single" w:sz="4" w:space="0" w:color="auto"/>
              <w:bottom w:val="nil"/>
              <w:right w:val="single" w:sz="4" w:space="0" w:color="000000"/>
            </w:tcBorders>
            <w:shd w:val="clear" w:color="auto" w:fill="D9D9D9"/>
            <w:noWrap/>
            <w:hideMark/>
          </w:tcPr>
          <w:p w14:paraId="39447186"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Proyecciones de Ley de Ingresos - LDF</w:t>
            </w:r>
          </w:p>
        </w:tc>
      </w:tr>
      <w:tr w:rsidR="00CB04CD" w:rsidRPr="00E84DBE" w14:paraId="3B3CCAD6" w14:textId="77777777" w:rsidTr="00CB04CD">
        <w:trPr>
          <w:trHeight w:val="227"/>
        </w:trPr>
        <w:tc>
          <w:tcPr>
            <w:tcW w:w="5000" w:type="pct"/>
            <w:gridSpan w:val="9"/>
            <w:tcBorders>
              <w:top w:val="nil"/>
              <w:left w:val="single" w:sz="4" w:space="0" w:color="auto"/>
              <w:bottom w:val="single" w:sz="4" w:space="0" w:color="auto"/>
              <w:right w:val="single" w:sz="4" w:space="0" w:color="000000"/>
            </w:tcBorders>
            <w:shd w:val="clear" w:color="auto" w:fill="D9D9D9"/>
            <w:noWrap/>
            <w:hideMark/>
          </w:tcPr>
          <w:p w14:paraId="22EEB905"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(PESOS)</w:t>
            </w:r>
          </w:p>
        </w:tc>
      </w:tr>
      <w:tr w:rsidR="00CB04CD" w:rsidRPr="00E84DBE" w14:paraId="538CB464" w14:textId="77777777" w:rsidTr="00CB04CD">
        <w:trPr>
          <w:trHeight w:val="227"/>
        </w:trPr>
        <w:tc>
          <w:tcPr>
            <w:tcW w:w="143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63E3B4D"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Concepto</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3C75BE5B"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2023</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0C148A8B"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2024</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0B13B60A"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2025</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0E3B5250"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2026</w:t>
            </w:r>
          </w:p>
        </w:tc>
        <w:tc>
          <w:tcPr>
            <w:tcW w:w="581" w:type="pct"/>
            <w:tcBorders>
              <w:top w:val="single" w:sz="4" w:space="0" w:color="auto"/>
              <w:left w:val="nil"/>
              <w:bottom w:val="single" w:sz="4" w:space="0" w:color="auto"/>
              <w:right w:val="single" w:sz="4" w:space="0" w:color="auto"/>
            </w:tcBorders>
            <w:shd w:val="clear" w:color="auto" w:fill="D9D9D9"/>
            <w:vAlign w:val="center"/>
            <w:hideMark/>
          </w:tcPr>
          <w:p w14:paraId="14D16EC7"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2027</w:t>
            </w:r>
          </w:p>
        </w:tc>
        <w:tc>
          <w:tcPr>
            <w:tcW w:w="667" w:type="pct"/>
            <w:tcBorders>
              <w:top w:val="single" w:sz="4" w:space="0" w:color="auto"/>
              <w:left w:val="nil"/>
              <w:bottom w:val="single" w:sz="4" w:space="0" w:color="auto"/>
              <w:right w:val="single" w:sz="4" w:space="0" w:color="auto"/>
            </w:tcBorders>
            <w:shd w:val="clear" w:color="auto" w:fill="D9D9D9"/>
            <w:vAlign w:val="center"/>
            <w:hideMark/>
          </w:tcPr>
          <w:p w14:paraId="4193861C" w14:textId="77777777" w:rsidR="00CB04CD" w:rsidRPr="00E84DBE" w:rsidRDefault="00CB04CD">
            <w:pPr>
              <w:spacing w:line="240" w:lineRule="auto"/>
              <w:jc w:val="center"/>
              <w:rPr>
                <w:rFonts w:eastAsia="Times New Roman" w:cs="Arial"/>
                <w:b/>
                <w:bCs/>
                <w:color w:val="000000"/>
                <w:sz w:val="14"/>
                <w:szCs w:val="14"/>
                <w:lang w:eastAsia="es-MX"/>
              </w:rPr>
            </w:pPr>
            <w:r w:rsidRPr="00E84DBE">
              <w:rPr>
                <w:rFonts w:eastAsia="Times New Roman" w:cs="Arial"/>
                <w:b/>
                <w:bCs/>
                <w:color w:val="000000"/>
                <w:sz w:val="14"/>
                <w:szCs w:val="14"/>
                <w:lang w:eastAsia="es-MX"/>
              </w:rPr>
              <w:t>2028</w:t>
            </w:r>
          </w:p>
        </w:tc>
      </w:tr>
      <w:tr w:rsidR="00CB04CD" w:rsidRPr="00E84DBE" w14:paraId="50A95B9B" w14:textId="77777777" w:rsidTr="00CB04CD">
        <w:trPr>
          <w:trHeight w:val="227"/>
        </w:trPr>
        <w:tc>
          <w:tcPr>
            <w:tcW w:w="207" w:type="pct"/>
            <w:tcBorders>
              <w:top w:val="nil"/>
              <w:left w:val="single" w:sz="4" w:space="0" w:color="auto"/>
              <w:bottom w:val="nil"/>
              <w:right w:val="nil"/>
            </w:tcBorders>
            <w:shd w:val="clear" w:color="auto" w:fill="FFFFFF"/>
            <w:noWrap/>
            <w:hideMark/>
          </w:tcPr>
          <w:p w14:paraId="57F14076"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46" w:type="pct"/>
            <w:shd w:val="clear" w:color="auto" w:fill="FFFFFF"/>
            <w:noWrap/>
            <w:hideMark/>
          </w:tcPr>
          <w:p w14:paraId="5D42CA6E"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077" w:type="pct"/>
            <w:tcBorders>
              <w:top w:val="single" w:sz="4" w:space="0" w:color="auto"/>
              <w:left w:val="nil"/>
              <w:bottom w:val="nil"/>
              <w:right w:val="single" w:sz="4" w:space="0" w:color="auto"/>
            </w:tcBorders>
            <w:shd w:val="clear" w:color="auto" w:fill="FFFFFF"/>
            <w:hideMark/>
          </w:tcPr>
          <w:p w14:paraId="665CB673"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single" w:sz="4" w:space="0" w:color="auto"/>
              <w:bottom w:val="nil"/>
              <w:right w:val="single" w:sz="4" w:space="0" w:color="auto"/>
            </w:tcBorders>
            <w:shd w:val="clear" w:color="auto" w:fill="FFFFFF"/>
            <w:hideMark/>
          </w:tcPr>
          <w:p w14:paraId="0DD0477A"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0A52C3CD"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242E56F5"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20CAB36C"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1B51F57A"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67" w:type="pct"/>
            <w:tcBorders>
              <w:top w:val="nil"/>
              <w:left w:val="nil"/>
              <w:bottom w:val="nil"/>
              <w:right w:val="single" w:sz="4" w:space="0" w:color="auto"/>
            </w:tcBorders>
            <w:shd w:val="clear" w:color="auto" w:fill="FFFFFF"/>
            <w:hideMark/>
          </w:tcPr>
          <w:p w14:paraId="3243087C"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r>
      <w:tr w:rsidR="00CB04CD" w:rsidRPr="00E84DBE" w14:paraId="607FBB69" w14:textId="77777777" w:rsidTr="00CB04CD">
        <w:trPr>
          <w:trHeight w:val="227"/>
        </w:trPr>
        <w:tc>
          <w:tcPr>
            <w:tcW w:w="207" w:type="pct"/>
            <w:tcBorders>
              <w:top w:val="nil"/>
              <w:left w:val="single" w:sz="4" w:space="0" w:color="auto"/>
              <w:bottom w:val="nil"/>
              <w:right w:val="nil"/>
            </w:tcBorders>
            <w:shd w:val="clear" w:color="auto" w:fill="FFFFFF"/>
            <w:noWrap/>
            <w:hideMark/>
          </w:tcPr>
          <w:p w14:paraId="0C2C2BFE"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1.</w:t>
            </w:r>
          </w:p>
        </w:tc>
        <w:tc>
          <w:tcPr>
            <w:tcW w:w="1223" w:type="pct"/>
            <w:gridSpan w:val="2"/>
            <w:tcBorders>
              <w:top w:val="nil"/>
              <w:left w:val="nil"/>
              <w:bottom w:val="nil"/>
              <w:right w:val="single" w:sz="4" w:space="0" w:color="000000"/>
            </w:tcBorders>
            <w:hideMark/>
          </w:tcPr>
          <w:p w14:paraId="15A06B38"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Libre Disposición</w:t>
            </w:r>
            <w:r w:rsidRPr="00E84DBE">
              <w:rPr>
                <w:rFonts w:eastAsia="Times New Roman" w:cs="Arial"/>
                <w:b/>
                <w:bCs/>
                <w:sz w:val="14"/>
                <w:szCs w:val="14"/>
                <w:lang w:eastAsia="es-MX"/>
              </w:rPr>
              <w:br/>
              <w:t>(1 = A+B+C+D+E+F+G+H+I+J+K+L)</w:t>
            </w:r>
          </w:p>
        </w:tc>
        <w:tc>
          <w:tcPr>
            <w:tcW w:w="581" w:type="pct"/>
            <w:tcBorders>
              <w:top w:val="nil"/>
              <w:left w:val="single" w:sz="4" w:space="0" w:color="auto"/>
              <w:bottom w:val="nil"/>
              <w:right w:val="single" w:sz="4" w:space="0" w:color="auto"/>
            </w:tcBorders>
            <w:vAlign w:val="center"/>
            <w:hideMark/>
          </w:tcPr>
          <w:p w14:paraId="463E02C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233,670,575,806</w:t>
            </w:r>
          </w:p>
        </w:tc>
        <w:tc>
          <w:tcPr>
            <w:tcW w:w="581" w:type="pct"/>
            <w:tcBorders>
              <w:top w:val="nil"/>
              <w:left w:val="nil"/>
              <w:bottom w:val="nil"/>
              <w:right w:val="single" w:sz="4" w:space="0" w:color="auto"/>
            </w:tcBorders>
            <w:vAlign w:val="center"/>
            <w:hideMark/>
          </w:tcPr>
          <w:p w14:paraId="53FE9345"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246,564,682,751</w:t>
            </w:r>
          </w:p>
        </w:tc>
        <w:tc>
          <w:tcPr>
            <w:tcW w:w="581" w:type="pct"/>
            <w:tcBorders>
              <w:top w:val="nil"/>
              <w:left w:val="nil"/>
              <w:bottom w:val="nil"/>
              <w:right w:val="single" w:sz="4" w:space="0" w:color="auto"/>
            </w:tcBorders>
            <w:vAlign w:val="center"/>
            <w:hideMark/>
          </w:tcPr>
          <w:p w14:paraId="68649043"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259,956,501,739</w:t>
            </w:r>
          </w:p>
        </w:tc>
        <w:tc>
          <w:tcPr>
            <w:tcW w:w="581" w:type="pct"/>
            <w:tcBorders>
              <w:top w:val="nil"/>
              <w:left w:val="nil"/>
              <w:bottom w:val="nil"/>
              <w:right w:val="single" w:sz="4" w:space="0" w:color="auto"/>
            </w:tcBorders>
            <w:vAlign w:val="center"/>
            <w:hideMark/>
          </w:tcPr>
          <w:p w14:paraId="74FF3E24"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274,748,390,131</w:t>
            </w:r>
          </w:p>
        </w:tc>
        <w:tc>
          <w:tcPr>
            <w:tcW w:w="581" w:type="pct"/>
            <w:tcBorders>
              <w:top w:val="nil"/>
              <w:left w:val="nil"/>
              <w:bottom w:val="nil"/>
              <w:right w:val="single" w:sz="4" w:space="0" w:color="auto"/>
            </w:tcBorders>
            <w:vAlign w:val="center"/>
            <w:hideMark/>
          </w:tcPr>
          <w:p w14:paraId="7EFFE92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289,988,028,778</w:t>
            </w:r>
          </w:p>
        </w:tc>
        <w:tc>
          <w:tcPr>
            <w:tcW w:w="667" w:type="pct"/>
            <w:tcBorders>
              <w:top w:val="nil"/>
              <w:left w:val="nil"/>
              <w:bottom w:val="nil"/>
              <w:right w:val="single" w:sz="4" w:space="0" w:color="auto"/>
            </w:tcBorders>
            <w:vAlign w:val="center"/>
            <w:hideMark/>
          </w:tcPr>
          <w:p w14:paraId="3AA17E8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306,250,070,611</w:t>
            </w:r>
          </w:p>
        </w:tc>
      </w:tr>
      <w:tr w:rsidR="00CB04CD" w:rsidRPr="00E84DBE" w14:paraId="12588FE5" w14:textId="77777777" w:rsidTr="00CB04CD">
        <w:trPr>
          <w:trHeight w:val="227"/>
        </w:trPr>
        <w:tc>
          <w:tcPr>
            <w:tcW w:w="207" w:type="pct"/>
            <w:tcBorders>
              <w:top w:val="nil"/>
              <w:left w:val="single" w:sz="4" w:space="0" w:color="auto"/>
              <w:bottom w:val="nil"/>
              <w:right w:val="nil"/>
            </w:tcBorders>
            <w:shd w:val="clear" w:color="auto" w:fill="FFFFFF"/>
            <w:noWrap/>
            <w:hideMark/>
          </w:tcPr>
          <w:p w14:paraId="1F45981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BE8883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077" w:type="pct"/>
            <w:tcBorders>
              <w:top w:val="nil"/>
              <w:left w:val="nil"/>
              <w:bottom w:val="nil"/>
              <w:right w:val="single" w:sz="4" w:space="0" w:color="auto"/>
            </w:tcBorders>
            <w:hideMark/>
          </w:tcPr>
          <w:p w14:paraId="32BF7CD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Impuestos</w:t>
            </w:r>
          </w:p>
        </w:tc>
        <w:tc>
          <w:tcPr>
            <w:tcW w:w="581" w:type="pct"/>
            <w:tcBorders>
              <w:top w:val="nil"/>
              <w:left w:val="single" w:sz="4" w:space="0" w:color="auto"/>
              <w:bottom w:val="nil"/>
              <w:right w:val="single" w:sz="4" w:space="0" w:color="auto"/>
            </w:tcBorders>
            <w:hideMark/>
          </w:tcPr>
          <w:p w14:paraId="7725983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24,258,736,384</w:t>
            </w:r>
          </w:p>
        </w:tc>
        <w:tc>
          <w:tcPr>
            <w:tcW w:w="581" w:type="pct"/>
            <w:tcBorders>
              <w:top w:val="nil"/>
              <w:left w:val="nil"/>
              <w:bottom w:val="nil"/>
              <w:right w:val="single" w:sz="4" w:space="0" w:color="auto"/>
            </w:tcBorders>
            <w:hideMark/>
          </w:tcPr>
          <w:p w14:paraId="784DCB8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25,531,587,862</w:t>
            </w:r>
          </w:p>
        </w:tc>
        <w:tc>
          <w:tcPr>
            <w:tcW w:w="581" w:type="pct"/>
            <w:tcBorders>
              <w:top w:val="nil"/>
              <w:left w:val="nil"/>
              <w:bottom w:val="nil"/>
              <w:right w:val="single" w:sz="4" w:space="0" w:color="auto"/>
            </w:tcBorders>
            <w:hideMark/>
          </w:tcPr>
          <w:p w14:paraId="5B85C79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26,928,676,350</w:t>
            </w:r>
          </w:p>
        </w:tc>
        <w:tc>
          <w:tcPr>
            <w:tcW w:w="581" w:type="pct"/>
            <w:tcBorders>
              <w:top w:val="nil"/>
              <w:left w:val="nil"/>
              <w:bottom w:val="nil"/>
              <w:right w:val="single" w:sz="4" w:space="0" w:color="auto"/>
            </w:tcBorders>
            <w:hideMark/>
          </w:tcPr>
          <w:p w14:paraId="3646EC0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28,402,213,521</w:t>
            </w:r>
          </w:p>
        </w:tc>
        <w:tc>
          <w:tcPr>
            <w:tcW w:w="581" w:type="pct"/>
            <w:tcBorders>
              <w:top w:val="nil"/>
              <w:left w:val="nil"/>
              <w:bottom w:val="nil"/>
              <w:right w:val="single" w:sz="4" w:space="0" w:color="auto"/>
            </w:tcBorders>
            <w:hideMark/>
          </w:tcPr>
          <w:p w14:paraId="59DACD1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29,956,382,646</w:t>
            </w:r>
          </w:p>
        </w:tc>
        <w:tc>
          <w:tcPr>
            <w:tcW w:w="667" w:type="pct"/>
            <w:tcBorders>
              <w:top w:val="nil"/>
              <w:left w:val="nil"/>
              <w:bottom w:val="nil"/>
              <w:right w:val="single" w:sz="4" w:space="0" w:color="auto"/>
            </w:tcBorders>
            <w:hideMark/>
          </w:tcPr>
          <w:p w14:paraId="39FBF7A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31,595,595,903</w:t>
            </w:r>
          </w:p>
        </w:tc>
      </w:tr>
      <w:tr w:rsidR="00CB04CD" w:rsidRPr="00E84DBE" w14:paraId="00C5555D" w14:textId="77777777" w:rsidTr="00CB04CD">
        <w:trPr>
          <w:trHeight w:val="227"/>
        </w:trPr>
        <w:tc>
          <w:tcPr>
            <w:tcW w:w="207" w:type="pct"/>
            <w:tcBorders>
              <w:top w:val="nil"/>
              <w:left w:val="single" w:sz="4" w:space="0" w:color="auto"/>
              <w:bottom w:val="nil"/>
              <w:right w:val="nil"/>
            </w:tcBorders>
            <w:shd w:val="clear" w:color="auto" w:fill="FFFFFF"/>
            <w:noWrap/>
            <w:hideMark/>
          </w:tcPr>
          <w:p w14:paraId="6A950FF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739182E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077" w:type="pct"/>
            <w:tcBorders>
              <w:top w:val="nil"/>
              <w:left w:val="nil"/>
              <w:bottom w:val="nil"/>
              <w:right w:val="single" w:sz="4" w:space="0" w:color="auto"/>
            </w:tcBorders>
            <w:hideMark/>
          </w:tcPr>
          <w:p w14:paraId="305745B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Cuotas y Aportaciones de Seguridad Social</w:t>
            </w:r>
          </w:p>
        </w:tc>
        <w:tc>
          <w:tcPr>
            <w:tcW w:w="581" w:type="pct"/>
            <w:tcBorders>
              <w:top w:val="nil"/>
              <w:left w:val="single" w:sz="4" w:space="0" w:color="auto"/>
              <w:bottom w:val="nil"/>
              <w:right w:val="single" w:sz="4" w:space="0" w:color="auto"/>
            </w:tcBorders>
            <w:hideMark/>
          </w:tcPr>
          <w:p w14:paraId="1F1A2BB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35,457,255,096</w:t>
            </w:r>
          </w:p>
        </w:tc>
        <w:tc>
          <w:tcPr>
            <w:tcW w:w="581" w:type="pct"/>
            <w:tcBorders>
              <w:top w:val="nil"/>
              <w:left w:val="nil"/>
              <w:bottom w:val="nil"/>
              <w:right w:val="single" w:sz="4" w:space="0" w:color="auto"/>
            </w:tcBorders>
            <w:hideMark/>
          </w:tcPr>
          <w:p w14:paraId="4A0BC1B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37,397,476,095</w:t>
            </w:r>
          </w:p>
        </w:tc>
        <w:tc>
          <w:tcPr>
            <w:tcW w:w="581" w:type="pct"/>
            <w:tcBorders>
              <w:top w:val="nil"/>
              <w:left w:val="nil"/>
              <w:bottom w:val="nil"/>
              <w:right w:val="single" w:sz="4" w:space="0" w:color="auto"/>
            </w:tcBorders>
            <w:hideMark/>
          </w:tcPr>
          <w:p w14:paraId="4013E9E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39,443,865,987</w:t>
            </w:r>
          </w:p>
        </w:tc>
        <w:tc>
          <w:tcPr>
            <w:tcW w:w="581" w:type="pct"/>
            <w:tcBorders>
              <w:top w:val="nil"/>
              <w:left w:val="nil"/>
              <w:bottom w:val="nil"/>
              <w:right w:val="single" w:sz="4" w:space="0" w:color="auto"/>
            </w:tcBorders>
            <w:hideMark/>
          </w:tcPr>
          <w:p w14:paraId="5700AA3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41,602,234,334</w:t>
            </w:r>
          </w:p>
        </w:tc>
        <w:tc>
          <w:tcPr>
            <w:tcW w:w="581" w:type="pct"/>
            <w:tcBorders>
              <w:top w:val="nil"/>
              <w:left w:val="nil"/>
              <w:bottom w:val="nil"/>
              <w:right w:val="single" w:sz="4" w:space="0" w:color="auto"/>
            </w:tcBorders>
            <w:hideMark/>
          </w:tcPr>
          <w:p w14:paraId="4F8DF5E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43,878,708,596</w:t>
            </w:r>
          </w:p>
        </w:tc>
        <w:tc>
          <w:tcPr>
            <w:tcW w:w="667" w:type="pct"/>
            <w:tcBorders>
              <w:top w:val="nil"/>
              <w:left w:val="nil"/>
              <w:bottom w:val="nil"/>
              <w:right w:val="single" w:sz="4" w:space="0" w:color="auto"/>
            </w:tcBorders>
            <w:hideMark/>
          </w:tcPr>
          <w:p w14:paraId="141EE86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46,279,751,531</w:t>
            </w:r>
          </w:p>
        </w:tc>
      </w:tr>
      <w:tr w:rsidR="00CB04CD" w:rsidRPr="00E84DBE" w14:paraId="36A51E71" w14:textId="77777777" w:rsidTr="00CB04CD">
        <w:trPr>
          <w:trHeight w:val="227"/>
        </w:trPr>
        <w:tc>
          <w:tcPr>
            <w:tcW w:w="207" w:type="pct"/>
            <w:tcBorders>
              <w:top w:val="nil"/>
              <w:left w:val="single" w:sz="4" w:space="0" w:color="auto"/>
              <w:bottom w:val="nil"/>
              <w:right w:val="nil"/>
            </w:tcBorders>
            <w:shd w:val="clear" w:color="auto" w:fill="FFFFFF"/>
            <w:noWrap/>
            <w:hideMark/>
          </w:tcPr>
          <w:p w14:paraId="2D6883E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D9870A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077" w:type="pct"/>
            <w:tcBorders>
              <w:top w:val="nil"/>
              <w:left w:val="nil"/>
              <w:bottom w:val="nil"/>
              <w:right w:val="single" w:sz="4" w:space="0" w:color="auto"/>
            </w:tcBorders>
            <w:hideMark/>
          </w:tcPr>
          <w:p w14:paraId="7C26D68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Contribuciones de Mejoras</w:t>
            </w:r>
          </w:p>
        </w:tc>
        <w:tc>
          <w:tcPr>
            <w:tcW w:w="581" w:type="pct"/>
            <w:tcBorders>
              <w:top w:val="nil"/>
              <w:left w:val="single" w:sz="4" w:space="0" w:color="auto"/>
              <w:bottom w:val="nil"/>
              <w:right w:val="single" w:sz="4" w:space="0" w:color="auto"/>
            </w:tcBorders>
            <w:hideMark/>
          </w:tcPr>
          <w:p w14:paraId="7900D40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549,841,905</w:t>
            </w:r>
          </w:p>
        </w:tc>
        <w:tc>
          <w:tcPr>
            <w:tcW w:w="581" w:type="pct"/>
            <w:tcBorders>
              <w:top w:val="nil"/>
              <w:left w:val="nil"/>
              <w:bottom w:val="nil"/>
              <w:right w:val="single" w:sz="4" w:space="0" w:color="auto"/>
            </w:tcBorders>
            <w:hideMark/>
          </w:tcPr>
          <w:p w14:paraId="2FD387E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579,385,414</w:t>
            </w:r>
          </w:p>
        </w:tc>
        <w:tc>
          <w:tcPr>
            <w:tcW w:w="581" w:type="pct"/>
            <w:tcBorders>
              <w:top w:val="nil"/>
              <w:left w:val="nil"/>
              <w:bottom w:val="nil"/>
              <w:right w:val="single" w:sz="4" w:space="0" w:color="auto"/>
            </w:tcBorders>
            <w:hideMark/>
          </w:tcPr>
          <w:p w14:paraId="6110B38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610,518,352</w:t>
            </w:r>
          </w:p>
        </w:tc>
        <w:tc>
          <w:tcPr>
            <w:tcW w:w="581" w:type="pct"/>
            <w:tcBorders>
              <w:top w:val="nil"/>
              <w:left w:val="nil"/>
              <w:bottom w:val="nil"/>
              <w:right w:val="single" w:sz="4" w:space="0" w:color="auto"/>
            </w:tcBorders>
            <w:hideMark/>
          </w:tcPr>
          <w:p w14:paraId="58C343D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643,326,332</w:t>
            </w:r>
          </w:p>
        </w:tc>
        <w:tc>
          <w:tcPr>
            <w:tcW w:w="581" w:type="pct"/>
            <w:tcBorders>
              <w:top w:val="nil"/>
              <w:left w:val="nil"/>
              <w:bottom w:val="nil"/>
              <w:right w:val="single" w:sz="4" w:space="0" w:color="auto"/>
            </w:tcBorders>
            <w:hideMark/>
          </w:tcPr>
          <w:p w14:paraId="560F539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677,899,586</w:t>
            </w:r>
          </w:p>
        </w:tc>
        <w:tc>
          <w:tcPr>
            <w:tcW w:w="667" w:type="pct"/>
            <w:tcBorders>
              <w:top w:val="nil"/>
              <w:left w:val="nil"/>
              <w:bottom w:val="nil"/>
              <w:right w:val="single" w:sz="4" w:space="0" w:color="auto"/>
            </w:tcBorders>
            <w:hideMark/>
          </w:tcPr>
          <w:p w14:paraId="2507C88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714,333,212</w:t>
            </w:r>
          </w:p>
        </w:tc>
      </w:tr>
      <w:tr w:rsidR="00CB04CD" w:rsidRPr="00E84DBE" w14:paraId="0A867BF9" w14:textId="77777777" w:rsidTr="00CB04CD">
        <w:trPr>
          <w:trHeight w:val="227"/>
        </w:trPr>
        <w:tc>
          <w:tcPr>
            <w:tcW w:w="207" w:type="pct"/>
            <w:tcBorders>
              <w:top w:val="nil"/>
              <w:left w:val="single" w:sz="4" w:space="0" w:color="auto"/>
              <w:bottom w:val="nil"/>
              <w:right w:val="nil"/>
            </w:tcBorders>
            <w:shd w:val="clear" w:color="auto" w:fill="FFFFFF"/>
            <w:noWrap/>
            <w:hideMark/>
          </w:tcPr>
          <w:p w14:paraId="778D936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0D5C41F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077" w:type="pct"/>
            <w:tcBorders>
              <w:top w:val="nil"/>
              <w:left w:val="nil"/>
              <w:bottom w:val="nil"/>
              <w:right w:val="single" w:sz="4" w:space="0" w:color="auto"/>
            </w:tcBorders>
            <w:hideMark/>
          </w:tcPr>
          <w:p w14:paraId="275B641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Derechos</w:t>
            </w:r>
          </w:p>
        </w:tc>
        <w:tc>
          <w:tcPr>
            <w:tcW w:w="581" w:type="pct"/>
            <w:tcBorders>
              <w:top w:val="nil"/>
              <w:left w:val="single" w:sz="4" w:space="0" w:color="auto"/>
              <w:bottom w:val="nil"/>
              <w:right w:val="single" w:sz="4" w:space="0" w:color="auto"/>
            </w:tcBorders>
            <w:hideMark/>
          </w:tcPr>
          <w:p w14:paraId="781BAB8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13,411,528,755</w:t>
            </w:r>
          </w:p>
        </w:tc>
        <w:tc>
          <w:tcPr>
            <w:tcW w:w="581" w:type="pct"/>
            <w:tcBorders>
              <w:top w:val="nil"/>
              <w:left w:val="nil"/>
              <w:bottom w:val="nil"/>
              <w:right w:val="single" w:sz="4" w:space="0" w:color="auto"/>
            </w:tcBorders>
            <w:hideMark/>
          </w:tcPr>
          <w:p w14:paraId="588F7C4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14,350,840,481</w:t>
            </w:r>
          </w:p>
        </w:tc>
        <w:tc>
          <w:tcPr>
            <w:tcW w:w="581" w:type="pct"/>
            <w:tcBorders>
              <w:top w:val="nil"/>
              <w:left w:val="nil"/>
              <w:bottom w:val="nil"/>
              <w:right w:val="single" w:sz="4" w:space="0" w:color="auto"/>
            </w:tcBorders>
            <w:hideMark/>
          </w:tcPr>
          <w:p w14:paraId="13A0B3B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15,211,890,907</w:t>
            </w:r>
          </w:p>
        </w:tc>
        <w:tc>
          <w:tcPr>
            <w:tcW w:w="581" w:type="pct"/>
            <w:tcBorders>
              <w:top w:val="nil"/>
              <w:left w:val="nil"/>
              <w:bottom w:val="nil"/>
              <w:right w:val="single" w:sz="4" w:space="0" w:color="auto"/>
            </w:tcBorders>
            <w:hideMark/>
          </w:tcPr>
          <w:p w14:paraId="171A9B1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16,124,604,358</w:t>
            </w:r>
          </w:p>
        </w:tc>
        <w:tc>
          <w:tcPr>
            <w:tcW w:w="581" w:type="pct"/>
            <w:tcBorders>
              <w:top w:val="nil"/>
              <w:left w:val="nil"/>
              <w:bottom w:val="nil"/>
              <w:right w:val="single" w:sz="4" w:space="0" w:color="auto"/>
            </w:tcBorders>
            <w:hideMark/>
          </w:tcPr>
          <w:p w14:paraId="72BBA82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17,092,080,625</w:t>
            </w:r>
          </w:p>
        </w:tc>
        <w:tc>
          <w:tcPr>
            <w:tcW w:w="667" w:type="pct"/>
            <w:tcBorders>
              <w:top w:val="nil"/>
              <w:left w:val="nil"/>
              <w:bottom w:val="nil"/>
              <w:right w:val="single" w:sz="4" w:space="0" w:color="auto"/>
            </w:tcBorders>
            <w:hideMark/>
          </w:tcPr>
          <w:p w14:paraId="242DC25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18,117,605,462</w:t>
            </w:r>
          </w:p>
        </w:tc>
      </w:tr>
      <w:tr w:rsidR="00CB04CD" w:rsidRPr="00E84DBE" w14:paraId="4C8FC4E9" w14:textId="77777777" w:rsidTr="00CB04CD">
        <w:trPr>
          <w:trHeight w:val="227"/>
        </w:trPr>
        <w:tc>
          <w:tcPr>
            <w:tcW w:w="207" w:type="pct"/>
            <w:tcBorders>
              <w:top w:val="nil"/>
              <w:left w:val="single" w:sz="4" w:space="0" w:color="auto"/>
              <w:bottom w:val="nil"/>
              <w:right w:val="nil"/>
            </w:tcBorders>
            <w:shd w:val="clear" w:color="auto" w:fill="FFFFFF"/>
            <w:noWrap/>
            <w:hideMark/>
          </w:tcPr>
          <w:p w14:paraId="644EC18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3C63D34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077" w:type="pct"/>
            <w:tcBorders>
              <w:top w:val="nil"/>
              <w:left w:val="nil"/>
              <w:bottom w:val="nil"/>
              <w:right w:val="single" w:sz="4" w:space="0" w:color="auto"/>
            </w:tcBorders>
            <w:hideMark/>
          </w:tcPr>
          <w:p w14:paraId="5CAD263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Productos</w:t>
            </w:r>
          </w:p>
        </w:tc>
        <w:tc>
          <w:tcPr>
            <w:tcW w:w="581" w:type="pct"/>
            <w:tcBorders>
              <w:top w:val="nil"/>
              <w:left w:val="single" w:sz="4" w:space="0" w:color="auto"/>
              <w:bottom w:val="nil"/>
              <w:right w:val="single" w:sz="4" w:space="0" w:color="auto"/>
            </w:tcBorders>
            <w:hideMark/>
          </w:tcPr>
          <w:p w14:paraId="799F89C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412,076,894</w:t>
            </w:r>
          </w:p>
        </w:tc>
        <w:tc>
          <w:tcPr>
            <w:tcW w:w="581" w:type="pct"/>
            <w:tcBorders>
              <w:top w:val="nil"/>
              <w:left w:val="nil"/>
              <w:bottom w:val="nil"/>
              <w:right w:val="single" w:sz="4" w:space="0" w:color="auto"/>
            </w:tcBorders>
            <w:hideMark/>
          </w:tcPr>
          <w:p w14:paraId="787699C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423,580,345</w:t>
            </w:r>
          </w:p>
        </w:tc>
        <w:tc>
          <w:tcPr>
            <w:tcW w:w="581" w:type="pct"/>
            <w:tcBorders>
              <w:top w:val="nil"/>
              <w:left w:val="nil"/>
              <w:bottom w:val="nil"/>
              <w:right w:val="single" w:sz="4" w:space="0" w:color="auto"/>
            </w:tcBorders>
            <w:hideMark/>
          </w:tcPr>
          <w:p w14:paraId="78F6172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436,642,691</w:t>
            </w:r>
          </w:p>
        </w:tc>
        <w:tc>
          <w:tcPr>
            <w:tcW w:w="581" w:type="pct"/>
            <w:tcBorders>
              <w:top w:val="nil"/>
              <w:left w:val="nil"/>
              <w:bottom w:val="nil"/>
              <w:right w:val="single" w:sz="4" w:space="0" w:color="auto"/>
            </w:tcBorders>
            <w:hideMark/>
          </w:tcPr>
          <w:p w14:paraId="13E3CF8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448,851,850</w:t>
            </w:r>
          </w:p>
        </w:tc>
        <w:tc>
          <w:tcPr>
            <w:tcW w:w="581" w:type="pct"/>
            <w:tcBorders>
              <w:top w:val="nil"/>
              <w:left w:val="nil"/>
              <w:bottom w:val="nil"/>
              <w:right w:val="single" w:sz="4" w:space="0" w:color="auto"/>
            </w:tcBorders>
            <w:hideMark/>
          </w:tcPr>
          <w:p w14:paraId="259D07B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460,547,876</w:t>
            </w:r>
          </w:p>
        </w:tc>
        <w:tc>
          <w:tcPr>
            <w:tcW w:w="667" w:type="pct"/>
            <w:tcBorders>
              <w:top w:val="nil"/>
              <w:left w:val="nil"/>
              <w:bottom w:val="nil"/>
              <w:right w:val="single" w:sz="4" w:space="0" w:color="auto"/>
            </w:tcBorders>
            <w:hideMark/>
          </w:tcPr>
          <w:p w14:paraId="143EE97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472,562,281</w:t>
            </w:r>
          </w:p>
        </w:tc>
      </w:tr>
      <w:tr w:rsidR="00CB04CD" w:rsidRPr="00E84DBE" w14:paraId="34FB7778" w14:textId="77777777" w:rsidTr="00CB04CD">
        <w:trPr>
          <w:trHeight w:val="227"/>
        </w:trPr>
        <w:tc>
          <w:tcPr>
            <w:tcW w:w="207" w:type="pct"/>
            <w:tcBorders>
              <w:top w:val="nil"/>
              <w:left w:val="single" w:sz="4" w:space="0" w:color="auto"/>
              <w:bottom w:val="nil"/>
              <w:right w:val="nil"/>
            </w:tcBorders>
            <w:shd w:val="clear" w:color="auto" w:fill="FFFFFF"/>
            <w:noWrap/>
            <w:hideMark/>
          </w:tcPr>
          <w:p w14:paraId="4282057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117C85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F.</w:t>
            </w:r>
          </w:p>
        </w:tc>
        <w:tc>
          <w:tcPr>
            <w:tcW w:w="1077" w:type="pct"/>
            <w:tcBorders>
              <w:top w:val="nil"/>
              <w:left w:val="nil"/>
              <w:bottom w:val="nil"/>
              <w:right w:val="single" w:sz="4" w:space="0" w:color="auto"/>
            </w:tcBorders>
            <w:hideMark/>
          </w:tcPr>
          <w:p w14:paraId="586DC15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Aprovechamientos</w:t>
            </w:r>
          </w:p>
        </w:tc>
        <w:tc>
          <w:tcPr>
            <w:tcW w:w="581" w:type="pct"/>
            <w:tcBorders>
              <w:top w:val="nil"/>
              <w:left w:val="single" w:sz="4" w:space="0" w:color="auto"/>
              <w:bottom w:val="nil"/>
              <w:right w:val="single" w:sz="4" w:space="0" w:color="auto"/>
            </w:tcBorders>
            <w:hideMark/>
          </w:tcPr>
          <w:p w14:paraId="059E291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2,392,843,217</w:t>
            </w:r>
          </w:p>
        </w:tc>
        <w:tc>
          <w:tcPr>
            <w:tcW w:w="581" w:type="pct"/>
            <w:tcBorders>
              <w:top w:val="nil"/>
              <w:left w:val="nil"/>
              <w:bottom w:val="nil"/>
              <w:right w:val="single" w:sz="4" w:space="0" w:color="auto"/>
            </w:tcBorders>
            <w:hideMark/>
          </w:tcPr>
          <w:p w14:paraId="1F9B9AC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2,319,508,197</w:t>
            </w:r>
          </w:p>
        </w:tc>
        <w:tc>
          <w:tcPr>
            <w:tcW w:w="581" w:type="pct"/>
            <w:tcBorders>
              <w:top w:val="nil"/>
              <w:left w:val="nil"/>
              <w:bottom w:val="nil"/>
              <w:right w:val="single" w:sz="4" w:space="0" w:color="auto"/>
            </w:tcBorders>
            <w:hideMark/>
          </w:tcPr>
          <w:p w14:paraId="2F8D469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2,409,850,000</w:t>
            </w:r>
          </w:p>
        </w:tc>
        <w:tc>
          <w:tcPr>
            <w:tcW w:w="581" w:type="pct"/>
            <w:tcBorders>
              <w:top w:val="nil"/>
              <w:left w:val="nil"/>
              <w:bottom w:val="nil"/>
              <w:right w:val="single" w:sz="4" w:space="0" w:color="auto"/>
            </w:tcBorders>
            <w:hideMark/>
          </w:tcPr>
          <w:p w14:paraId="59DAE71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2,504,037,858</w:t>
            </w:r>
          </w:p>
        </w:tc>
        <w:tc>
          <w:tcPr>
            <w:tcW w:w="581" w:type="pct"/>
            <w:tcBorders>
              <w:top w:val="nil"/>
              <w:left w:val="nil"/>
              <w:bottom w:val="nil"/>
              <w:right w:val="single" w:sz="4" w:space="0" w:color="auto"/>
            </w:tcBorders>
            <w:hideMark/>
          </w:tcPr>
          <w:p w14:paraId="3DDFAF4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2,602,249,298</w:t>
            </w:r>
          </w:p>
        </w:tc>
        <w:tc>
          <w:tcPr>
            <w:tcW w:w="667" w:type="pct"/>
            <w:tcBorders>
              <w:top w:val="nil"/>
              <w:left w:val="nil"/>
              <w:bottom w:val="nil"/>
              <w:right w:val="single" w:sz="4" w:space="0" w:color="auto"/>
            </w:tcBorders>
            <w:hideMark/>
          </w:tcPr>
          <w:p w14:paraId="4953F56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2,704,670,579</w:t>
            </w:r>
          </w:p>
        </w:tc>
      </w:tr>
      <w:tr w:rsidR="00CB04CD" w:rsidRPr="00E84DBE" w14:paraId="4BB05581" w14:textId="77777777" w:rsidTr="00CB04CD">
        <w:trPr>
          <w:trHeight w:val="227"/>
        </w:trPr>
        <w:tc>
          <w:tcPr>
            <w:tcW w:w="207" w:type="pct"/>
            <w:tcBorders>
              <w:top w:val="nil"/>
              <w:left w:val="single" w:sz="4" w:space="0" w:color="auto"/>
              <w:bottom w:val="nil"/>
              <w:right w:val="nil"/>
            </w:tcBorders>
            <w:shd w:val="clear" w:color="auto" w:fill="FFFFFF"/>
            <w:noWrap/>
            <w:hideMark/>
          </w:tcPr>
          <w:p w14:paraId="2E230FC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220652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G.</w:t>
            </w:r>
          </w:p>
        </w:tc>
        <w:tc>
          <w:tcPr>
            <w:tcW w:w="1077" w:type="pct"/>
            <w:tcBorders>
              <w:top w:val="nil"/>
              <w:left w:val="nil"/>
              <w:bottom w:val="nil"/>
              <w:right w:val="single" w:sz="4" w:space="0" w:color="auto"/>
            </w:tcBorders>
            <w:hideMark/>
          </w:tcPr>
          <w:p w14:paraId="7FD5AE0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por Ventas de Bienes y Prestación de Servicios</w:t>
            </w:r>
          </w:p>
        </w:tc>
        <w:tc>
          <w:tcPr>
            <w:tcW w:w="581" w:type="pct"/>
            <w:tcBorders>
              <w:top w:val="nil"/>
              <w:left w:val="single" w:sz="4" w:space="0" w:color="auto"/>
              <w:bottom w:val="nil"/>
              <w:right w:val="single" w:sz="4" w:space="0" w:color="auto"/>
            </w:tcBorders>
            <w:vAlign w:val="center"/>
            <w:hideMark/>
          </w:tcPr>
          <w:p w14:paraId="438173F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5,700,380,366</w:t>
            </w:r>
          </w:p>
        </w:tc>
        <w:tc>
          <w:tcPr>
            <w:tcW w:w="581" w:type="pct"/>
            <w:tcBorders>
              <w:top w:val="nil"/>
              <w:left w:val="nil"/>
              <w:bottom w:val="nil"/>
              <w:right w:val="single" w:sz="4" w:space="0" w:color="auto"/>
            </w:tcBorders>
            <w:vAlign w:val="center"/>
            <w:hideMark/>
          </w:tcPr>
          <w:p w14:paraId="5849D01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6,012,305,178</w:t>
            </w:r>
          </w:p>
        </w:tc>
        <w:tc>
          <w:tcPr>
            <w:tcW w:w="581" w:type="pct"/>
            <w:tcBorders>
              <w:top w:val="nil"/>
              <w:left w:val="nil"/>
              <w:bottom w:val="nil"/>
              <w:right w:val="single" w:sz="4" w:space="0" w:color="auto"/>
            </w:tcBorders>
            <w:vAlign w:val="center"/>
            <w:hideMark/>
          </w:tcPr>
          <w:p w14:paraId="22C0357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6,341,298,519</w:t>
            </w:r>
          </w:p>
        </w:tc>
        <w:tc>
          <w:tcPr>
            <w:tcW w:w="581" w:type="pct"/>
            <w:tcBorders>
              <w:top w:val="nil"/>
              <w:left w:val="nil"/>
              <w:bottom w:val="nil"/>
              <w:right w:val="single" w:sz="4" w:space="0" w:color="auto"/>
            </w:tcBorders>
            <w:vAlign w:val="center"/>
            <w:hideMark/>
          </w:tcPr>
          <w:p w14:paraId="42D07B9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6,688,294,377</w:t>
            </w:r>
          </w:p>
        </w:tc>
        <w:tc>
          <w:tcPr>
            <w:tcW w:w="581" w:type="pct"/>
            <w:tcBorders>
              <w:top w:val="nil"/>
              <w:left w:val="nil"/>
              <w:bottom w:val="nil"/>
              <w:right w:val="single" w:sz="4" w:space="0" w:color="auto"/>
            </w:tcBorders>
            <w:vAlign w:val="center"/>
            <w:hideMark/>
          </w:tcPr>
          <w:p w14:paraId="5322036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7,054,277,839</w:t>
            </w:r>
          </w:p>
        </w:tc>
        <w:tc>
          <w:tcPr>
            <w:tcW w:w="667" w:type="pct"/>
            <w:tcBorders>
              <w:top w:val="nil"/>
              <w:left w:val="nil"/>
              <w:bottom w:val="nil"/>
              <w:right w:val="single" w:sz="4" w:space="0" w:color="auto"/>
            </w:tcBorders>
            <w:vAlign w:val="center"/>
            <w:hideMark/>
          </w:tcPr>
          <w:p w14:paraId="5AE9856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7,440,287,927</w:t>
            </w:r>
          </w:p>
        </w:tc>
      </w:tr>
      <w:tr w:rsidR="00CB04CD" w:rsidRPr="00E84DBE" w14:paraId="0596FFF6" w14:textId="77777777" w:rsidTr="00CB04CD">
        <w:trPr>
          <w:trHeight w:val="227"/>
        </w:trPr>
        <w:tc>
          <w:tcPr>
            <w:tcW w:w="207" w:type="pct"/>
            <w:tcBorders>
              <w:top w:val="nil"/>
              <w:left w:val="single" w:sz="4" w:space="0" w:color="auto"/>
              <w:bottom w:val="nil"/>
              <w:right w:val="nil"/>
            </w:tcBorders>
            <w:shd w:val="clear" w:color="auto" w:fill="FFFFFF"/>
            <w:noWrap/>
            <w:hideMark/>
          </w:tcPr>
          <w:p w14:paraId="46CD047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2311176"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H.</w:t>
            </w:r>
          </w:p>
        </w:tc>
        <w:tc>
          <w:tcPr>
            <w:tcW w:w="1077" w:type="pct"/>
            <w:tcBorders>
              <w:top w:val="nil"/>
              <w:left w:val="nil"/>
              <w:bottom w:val="nil"/>
              <w:right w:val="single" w:sz="4" w:space="0" w:color="auto"/>
            </w:tcBorders>
            <w:hideMark/>
          </w:tcPr>
          <w:p w14:paraId="6F77B99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Participaciones</w:t>
            </w:r>
          </w:p>
        </w:tc>
        <w:tc>
          <w:tcPr>
            <w:tcW w:w="581" w:type="pct"/>
            <w:tcBorders>
              <w:top w:val="nil"/>
              <w:left w:val="single" w:sz="4" w:space="0" w:color="auto"/>
              <w:bottom w:val="nil"/>
              <w:right w:val="single" w:sz="4" w:space="0" w:color="auto"/>
            </w:tcBorders>
            <w:hideMark/>
          </w:tcPr>
          <w:p w14:paraId="5F182BB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144,435,639,022</w:t>
            </w:r>
          </w:p>
        </w:tc>
        <w:tc>
          <w:tcPr>
            <w:tcW w:w="581" w:type="pct"/>
            <w:tcBorders>
              <w:top w:val="nil"/>
              <w:left w:val="nil"/>
              <w:bottom w:val="nil"/>
              <w:right w:val="single" w:sz="4" w:space="0" w:color="auto"/>
            </w:tcBorders>
            <w:hideMark/>
          </w:tcPr>
          <w:p w14:paraId="3D515B74"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152,550,222,975</w:t>
            </w:r>
          </w:p>
        </w:tc>
        <w:tc>
          <w:tcPr>
            <w:tcW w:w="581" w:type="pct"/>
            <w:tcBorders>
              <w:top w:val="nil"/>
              <w:left w:val="nil"/>
              <w:bottom w:val="nil"/>
              <w:right w:val="single" w:sz="4" w:space="0" w:color="auto"/>
            </w:tcBorders>
            <w:hideMark/>
          </w:tcPr>
          <w:p w14:paraId="752E3A6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160,815,316,004</w:t>
            </w:r>
          </w:p>
        </w:tc>
        <w:tc>
          <w:tcPr>
            <w:tcW w:w="581" w:type="pct"/>
            <w:tcBorders>
              <w:top w:val="nil"/>
              <w:left w:val="nil"/>
              <w:bottom w:val="nil"/>
              <w:right w:val="single" w:sz="4" w:space="0" w:color="auto"/>
            </w:tcBorders>
            <w:hideMark/>
          </w:tcPr>
          <w:p w14:paraId="09840D7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170,198,673,398</w:t>
            </w:r>
          </w:p>
        </w:tc>
        <w:tc>
          <w:tcPr>
            <w:tcW w:w="581" w:type="pct"/>
            <w:tcBorders>
              <w:top w:val="nil"/>
              <w:left w:val="nil"/>
              <w:bottom w:val="nil"/>
              <w:right w:val="single" w:sz="4" w:space="0" w:color="auto"/>
            </w:tcBorders>
            <w:hideMark/>
          </w:tcPr>
          <w:p w14:paraId="2A04513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179,733,044,538</w:t>
            </w:r>
          </w:p>
        </w:tc>
        <w:tc>
          <w:tcPr>
            <w:tcW w:w="667" w:type="pct"/>
            <w:tcBorders>
              <w:top w:val="nil"/>
              <w:left w:val="nil"/>
              <w:bottom w:val="nil"/>
              <w:right w:val="single" w:sz="4" w:space="0" w:color="auto"/>
            </w:tcBorders>
            <w:hideMark/>
          </w:tcPr>
          <w:p w14:paraId="02AB6D9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189,974,790,810</w:t>
            </w:r>
          </w:p>
        </w:tc>
      </w:tr>
      <w:tr w:rsidR="00CB04CD" w:rsidRPr="00E84DBE" w14:paraId="1C70701F" w14:textId="77777777" w:rsidTr="00CB04CD">
        <w:trPr>
          <w:trHeight w:val="227"/>
        </w:trPr>
        <w:tc>
          <w:tcPr>
            <w:tcW w:w="207" w:type="pct"/>
            <w:tcBorders>
              <w:top w:val="nil"/>
              <w:left w:val="single" w:sz="4" w:space="0" w:color="auto"/>
              <w:bottom w:val="nil"/>
              <w:right w:val="nil"/>
            </w:tcBorders>
            <w:shd w:val="clear" w:color="auto" w:fill="FFFFFF"/>
            <w:noWrap/>
            <w:hideMark/>
          </w:tcPr>
          <w:p w14:paraId="0CE6414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786256F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w:t>
            </w:r>
          </w:p>
        </w:tc>
        <w:tc>
          <w:tcPr>
            <w:tcW w:w="1077" w:type="pct"/>
            <w:tcBorders>
              <w:top w:val="nil"/>
              <w:left w:val="nil"/>
              <w:bottom w:val="nil"/>
              <w:right w:val="single" w:sz="4" w:space="0" w:color="auto"/>
            </w:tcBorders>
            <w:hideMark/>
          </w:tcPr>
          <w:p w14:paraId="6FAFE03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Incentivos Derivados de la Colaboración Fiscal</w:t>
            </w:r>
          </w:p>
        </w:tc>
        <w:tc>
          <w:tcPr>
            <w:tcW w:w="581" w:type="pct"/>
            <w:tcBorders>
              <w:top w:val="nil"/>
              <w:left w:val="single" w:sz="4" w:space="0" w:color="auto"/>
              <w:bottom w:val="nil"/>
              <w:right w:val="single" w:sz="4" w:space="0" w:color="auto"/>
            </w:tcBorders>
            <w:vAlign w:val="center"/>
            <w:hideMark/>
          </w:tcPr>
          <w:p w14:paraId="4939425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7,052,274,167</w:t>
            </w:r>
          </w:p>
        </w:tc>
        <w:tc>
          <w:tcPr>
            <w:tcW w:w="581" w:type="pct"/>
            <w:tcBorders>
              <w:top w:val="nil"/>
              <w:left w:val="nil"/>
              <w:bottom w:val="nil"/>
              <w:right w:val="single" w:sz="4" w:space="0" w:color="auto"/>
            </w:tcBorders>
            <w:vAlign w:val="center"/>
            <w:hideMark/>
          </w:tcPr>
          <w:p w14:paraId="34B2216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7,399,776,204</w:t>
            </w:r>
          </w:p>
        </w:tc>
        <w:tc>
          <w:tcPr>
            <w:tcW w:w="581" w:type="pct"/>
            <w:tcBorders>
              <w:top w:val="nil"/>
              <w:left w:val="nil"/>
              <w:bottom w:val="nil"/>
              <w:right w:val="single" w:sz="4" w:space="0" w:color="auto"/>
            </w:tcBorders>
            <w:vAlign w:val="center"/>
            <w:hideMark/>
          </w:tcPr>
          <w:p w14:paraId="30B734B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7,758,442,929</w:t>
            </w:r>
          </w:p>
        </w:tc>
        <w:tc>
          <w:tcPr>
            <w:tcW w:w="581" w:type="pct"/>
            <w:tcBorders>
              <w:top w:val="nil"/>
              <w:left w:val="nil"/>
              <w:bottom w:val="nil"/>
              <w:right w:val="single" w:sz="4" w:space="0" w:color="auto"/>
            </w:tcBorders>
            <w:vAlign w:val="center"/>
            <w:hideMark/>
          </w:tcPr>
          <w:p w14:paraId="7F6D5BD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8,136,154,103</w:t>
            </w:r>
          </w:p>
        </w:tc>
        <w:tc>
          <w:tcPr>
            <w:tcW w:w="581" w:type="pct"/>
            <w:tcBorders>
              <w:top w:val="nil"/>
              <w:left w:val="nil"/>
              <w:bottom w:val="nil"/>
              <w:right w:val="single" w:sz="4" w:space="0" w:color="auto"/>
            </w:tcBorders>
            <w:vAlign w:val="center"/>
            <w:hideMark/>
          </w:tcPr>
          <w:p w14:paraId="216841E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8,532,837,774</w:t>
            </w:r>
          </w:p>
        </w:tc>
        <w:tc>
          <w:tcPr>
            <w:tcW w:w="667" w:type="pct"/>
            <w:tcBorders>
              <w:top w:val="nil"/>
              <w:left w:val="nil"/>
              <w:bottom w:val="nil"/>
              <w:right w:val="single" w:sz="4" w:space="0" w:color="auto"/>
            </w:tcBorders>
            <w:vAlign w:val="center"/>
            <w:hideMark/>
          </w:tcPr>
          <w:p w14:paraId="37B456B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8,950,472,906</w:t>
            </w:r>
          </w:p>
        </w:tc>
      </w:tr>
      <w:tr w:rsidR="00CB04CD" w:rsidRPr="00E84DBE" w14:paraId="375C8FDC" w14:textId="77777777" w:rsidTr="00CB04CD">
        <w:trPr>
          <w:trHeight w:val="227"/>
        </w:trPr>
        <w:tc>
          <w:tcPr>
            <w:tcW w:w="207" w:type="pct"/>
            <w:tcBorders>
              <w:top w:val="nil"/>
              <w:left w:val="single" w:sz="4" w:space="0" w:color="auto"/>
              <w:bottom w:val="nil"/>
              <w:right w:val="nil"/>
            </w:tcBorders>
            <w:shd w:val="clear" w:color="auto" w:fill="FFFFFF"/>
            <w:noWrap/>
            <w:hideMark/>
          </w:tcPr>
          <w:p w14:paraId="208A187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6CD9B12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J.</w:t>
            </w:r>
          </w:p>
        </w:tc>
        <w:tc>
          <w:tcPr>
            <w:tcW w:w="1077" w:type="pct"/>
            <w:tcBorders>
              <w:top w:val="nil"/>
              <w:left w:val="nil"/>
              <w:bottom w:val="nil"/>
              <w:right w:val="single" w:sz="4" w:space="0" w:color="auto"/>
            </w:tcBorders>
            <w:hideMark/>
          </w:tcPr>
          <w:p w14:paraId="766ECF4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Transferencias y Asignaciones</w:t>
            </w:r>
          </w:p>
        </w:tc>
        <w:tc>
          <w:tcPr>
            <w:tcW w:w="581" w:type="pct"/>
            <w:tcBorders>
              <w:top w:val="nil"/>
              <w:left w:val="single" w:sz="4" w:space="0" w:color="auto"/>
              <w:bottom w:val="nil"/>
              <w:right w:val="single" w:sz="4" w:space="0" w:color="auto"/>
            </w:tcBorders>
            <w:hideMark/>
          </w:tcPr>
          <w:p w14:paraId="1413D9F3"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589D076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1B33041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F30CD3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5E3E395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142A571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703F9F35" w14:textId="77777777" w:rsidTr="00CB04CD">
        <w:trPr>
          <w:trHeight w:val="227"/>
        </w:trPr>
        <w:tc>
          <w:tcPr>
            <w:tcW w:w="207" w:type="pct"/>
            <w:tcBorders>
              <w:top w:val="nil"/>
              <w:left w:val="single" w:sz="4" w:space="0" w:color="auto"/>
              <w:bottom w:val="nil"/>
              <w:right w:val="nil"/>
            </w:tcBorders>
            <w:shd w:val="clear" w:color="auto" w:fill="FFFFFF"/>
            <w:noWrap/>
            <w:hideMark/>
          </w:tcPr>
          <w:p w14:paraId="7507B7B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420150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K.</w:t>
            </w:r>
          </w:p>
        </w:tc>
        <w:tc>
          <w:tcPr>
            <w:tcW w:w="1077" w:type="pct"/>
            <w:tcBorders>
              <w:top w:val="nil"/>
              <w:left w:val="nil"/>
              <w:bottom w:val="nil"/>
              <w:right w:val="single" w:sz="4" w:space="0" w:color="auto"/>
            </w:tcBorders>
            <w:hideMark/>
          </w:tcPr>
          <w:p w14:paraId="1DD3080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581" w:type="pct"/>
            <w:tcBorders>
              <w:top w:val="nil"/>
              <w:left w:val="single" w:sz="4" w:space="0" w:color="auto"/>
              <w:bottom w:val="nil"/>
              <w:right w:val="single" w:sz="4" w:space="0" w:color="auto"/>
            </w:tcBorders>
            <w:hideMark/>
          </w:tcPr>
          <w:p w14:paraId="43E6E82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C6404B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7414D7C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5EA8146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7123F5D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0B9BBA1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64722EB4" w14:textId="77777777" w:rsidTr="00CB04CD">
        <w:trPr>
          <w:trHeight w:val="227"/>
        </w:trPr>
        <w:tc>
          <w:tcPr>
            <w:tcW w:w="207" w:type="pct"/>
            <w:tcBorders>
              <w:top w:val="nil"/>
              <w:left w:val="single" w:sz="4" w:space="0" w:color="auto"/>
              <w:bottom w:val="nil"/>
              <w:right w:val="nil"/>
            </w:tcBorders>
            <w:shd w:val="clear" w:color="auto" w:fill="FFFFFF"/>
            <w:noWrap/>
            <w:hideMark/>
          </w:tcPr>
          <w:p w14:paraId="53CBA8B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71372A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L.</w:t>
            </w:r>
          </w:p>
        </w:tc>
        <w:tc>
          <w:tcPr>
            <w:tcW w:w="1077" w:type="pct"/>
            <w:tcBorders>
              <w:top w:val="nil"/>
              <w:left w:val="nil"/>
              <w:bottom w:val="nil"/>
              <w:right w:val="single" w:sz="4" w:space="0" w:color="auto"/>
            </w:tcBorders>
            <w:hideMark/>
          </w:tcPr>
          <w:p w14:paraId="50216CA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Otros Ingresos de Libre Disposición</w:t>
            </w:r>
          </w:p>
        </w:tc>
        <w:tc>
          <w:tcPr>
            <w:tcW w:w="581" w:type="pct"/>
            <w:tcBorders>
              <w:top w:val="nil"/>
              <w:left w:val="single" w:sz="4" w:space="0" w:color="auto"/>
              <w:bottom w:val="nil"/>
              <w:right w:val="single" w:sz="4" w:space="0" w:color="auto"/>
            </w:tcBorders>
            <w:hideMark/>
          </w:tcPr>
          <w:p w14:paraId="2D51CDD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365240B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C8897C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6F32653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7B62896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0E3D65A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75A21E3E" w14:textId="77777777" w:rsidTr="00CB04CD">
        <w:trPr>
          <w:trHeight w:val="227"/>
        </w:trPr>
        <w:tc>
          <w:tcPr>
            <w:tcW w:w="207" w:type="pct"/>
            <w:tcBorders>
              <w:top w:val="nil"/>
              <w:left w:val="single" w:sz="4" w:space="0" w:color="auto"/>
              <w:bottom w:val="nil"/>
              <w:right w:val="nil"/>
            </w:tcBorders>
            <w:shd w:val="clear" w:color="auto" w:fill="FFFFFF"/>
            <w:noWrap/>
            <w:hideMark/>
          </w:tcPr>
          <w:p w14:paraId="0B76AA9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627A948E" w14:textId="77777777" w:rsidR="00CB04CD" w:rsidRPr="00E84DBE" w:rsidRDefault="00CB04CD">
            <w:pPr>
              <w:rPr>
                <w:rFonts w:eastAsia="Times New Roman" w:cs="Arial"/>
                <w:sz w:val="14"/>
                <w:szCs w:val="14"/>
                <w:lang w:eastAsia="es-MX"/>
              </w:rPr>
            </w:pPr>
          </w:p>
        </w:tc>
        <w:tc>
          <w:tcPr>
            <w:tcW w:w="1077" w:type="pct"/>
            <w:tcBorders>
              <w:top w:val="nil"/>
              <w:left w:val="nil"/>
              <w:bottom w:val="nil"/>
              <w:right w:val="single" w:sz="4" w:space="0" w:color="auto"/>
            </w:tcBorders>
            <w:hideMark/>
          </w:tcPr>
          <w:p w14:paraId="13A1EC8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single" w:sz="4" w:space="0" w:color="auto"/>
              <w:bottom w:val="nil"/>
              <w:right w:val="single" w:sz="4" w:space="0" w:color="auto"/>
            </w:tcBorders>
            <w:hideMark/>
          </w:tcPr>
          <w:p w14:paraId="45FC6BF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7FC7741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21BCA1F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5C9F63D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69C51AE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67" w:type="pct"/>
            <w:tcBorders>
              <w:top w:val="nil"/>
              <w:left w:val="nil"/>
              <w:bottom w:val="nil"/>
              <w:right w:val="single" w:sz="4" w:space="0" w:color="auto"/>
            </w:tcBorders>
            <w:hideMark/>
          </w:tcPr>
          <w:p w14:paraId="49A5B874"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10D8384B" w14:textId="77777777" w:rsidTr="00CB04CD">
        <w:trPr>
          <w:trHeight w:val="227"/>
        </w:trPr>
        <w:tc>
          <w:tcPr>
            <w:tcW w:w="207" w:type="pct"/>
            <w:tcBorders>
              <w:top w:val="nil"/>
              <w:left w:val="single" w:sz="4" w:space="0" w:color="auto"/>
              <w:bottom w:val="nil"/>
              <w:right w:val="nil"/>
            </w:tcBorders>
            <w:shd w:val="clear" w:color="auto" w:fill="FFFFFF"/>
            <w:noWrap/>
            <w:hideMark/>
          </w:tcPr>
          <w:p w14:paraId="676F2423"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2.</w:t>
            </w:r>
          </w:p>
        </w:tc>
        <w:tc>
          <w:tcPr>
            <w:tcW w:w="1223" w:type="pct"/>
            <w:gridSpan w:val="2"/>
            <w:tcBorders>
              <w:top w:val="nil"/>
              <w:left w:val="nil"/>
              <w:bottom w:val="nil"/>
              <w:right w:val="single" w:sz="4" w:space="0" w:color="000000"/>
            </w:tcBorders>
            <w:hideMark/>
          </w:tcPr>
          <w:p w14:paraId="2DCA370C"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Transferencias Federales Etiquetadas</w:t>
            </w:r>
            <w:r w:rsidRPr="00E84DBE">
              <w:rPr>
                <w:rFonts w:eastAsia="Times New Roman" w:cs="Arial"/>
                <w:b/>
                <w:bCs/>
                <w:sz w:val="14"/>
                <w:szCs w:val="14"/>
                <w:lang w:eastAsia="es-MX"/>
              </w:rPr>
              <w:br/>
              <w:t>(2 = A+B+C+D+E)</w:t>
            </w:r>
          </w:p>
        </w:tc>
        <w:tc>
          <w:tcPr>
            <w:tcW w:w="581" w:type="pct"/>
            <w:tcBorders>
              <w:top w:val="nil"/>
              <w:left w:val="single" w:sz="4" w:space="0" w:color="auto"/>
              <w:bottom w:val="nil"/>
              <w:right w:val="single" w:sz="4" w:space="0" w:color="auto"/>
            </w:tcBorders>
            <w:vAlign w:val="center"/>
            <w:hideMark/>
          </w:tcPr>
          <w:p w14:paraId="41AE8327"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114,241,050,701</w:t>
            </w:r>
          </w:p>
        </w:tc>
        <w:tc>
          <w:tcPr>
            <w:tcW w:w="581" w:type="pct"/>
            <w:tcBorders>
              <w:top w:val="nil"/>
              <w:left w:val="nil"/>
              <w:bottom w:val="nil"/>
              <w:right w:val="single" w:sz="4" w:space="0" w:color="auto"/>
            </w:tcBorders>
            <w:vAlign w:val="center"/>
            <w:hideMark/>
          </w:tcPr>
          <w:p w14:paraId="5EEA470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120,492,320,993</w:t>
            </w:r>
          </w:p>
        </w:tc>
        <w:tc>
          <w:tcPr>
            <w:tcW w:w="581" w:type="pct"/>
            <w:tcBorders>
              <w:top w:val="nil"/>
              <w:left w:val="nil"/>
              <w:bottom w:val="nil"/>
              <w:right w:val="single" w:sz="4" w:space="0" w:color="auto"/>
            </w:tcBorders>
            <w:vAlign w:val="center"/>
            <w:hideMark/>
          </w:tcPr>
          <w:p w14:paraId="5CB4E6C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127,085,660,798</w:t>
            </w:r>
          </w:p>
        </w:tc>
        <w:tc>
          <w:tcPr>
            <w:tcW w:w="581" w:type="pct"/>
            <w:tcBorders>
              <w:top w:val="nil"/>
              <w:left w:val="nil"/>
              <w:bottom w:val="nil"/>
              <w:right w:val="single" w:sz="4" w:space="0" w:color="auto"/>
            </w:tcBorders>
            <w:vAlign w:val="center"/>
            <w:hideMark/>
          </w:tcPr>
          <w:p w14:paraId="2305984A"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134,039,788,160</w:t>
            </w:r>
          </w:p>
        </w:tc>
        <w:tc>
          <w:tcPr>
            <w:tcW w:w="581" w:type="pct"/>
            <w:tcBorders>
              <w:top w:val="nil"/>
              <w:left w:val="nil"/>
              <w:bottom w:val="nil"/>
              <w:right w:val="single" w:sz="4" w:space="0" w:color="auto"/>
            </w:tcBorders>
            <w:vAlign w:val="center"/>
            <w:hideMark/>
          </w:tcPr>
          <w:p w14:paraId="28B0135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141,374,445,367</w:t>
            </w:r>
          </w:p>
        </w:tc>
        <w:tc>
          <w:tcPr>
            <w:tcW w:w="667" w:type="pct"/>
            <w:tcBorders>
              <w:top w:val="nil"/>
              <w:left w:val="nil"/>
              <w:bottom w:val="nil"/>
              <w:right w:val="single" w:sz="4" w:space="0" w:color="auto"/>
            </w:tcBorders>
            <w:vAlign w:val="center"/>
            <w:hideMark/>
          </w:tcPr>
          <w:p w14:paraId="05E3D7BE"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149,110,455,014</w:t>
            </w:r>
          </w:p>
        </w:tc>
      </w:tr>
      <w:tr w:rsidR="00CB04CD" w:rsidRPr="00E84DBE" w14:paraId="76182A7E" w14:textId="77777777" w:rsidTr="00CB04CD">
        <w:trPr>
          <w:trHeight w:val="227"/>
        </w:trPr>
        <w:tc>
          <w:tcPr>
            <w:tcW w:w="207" w:type="pct"/>
            <w:tcBorders>
              <w:top w:val="nil"/>
              <w:left w:val="single" w:sz="4" w:space="0" w:color="auto"/>
              <w:bottom w:val="nil"/>
              <w:right w:val="nil"/>
            </w:tcBorders>
            <w:shd w:val="clear" w:color="auto" w:fill="FFFFFF"/>
            <w:noWrap/>
            <w:hideMark/>
          </w:tcPr>
          <w:p w14:paraId="51F4456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2318389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077" w:type="pct"/>
            <w:tcBorders>
              <w:top w:val="nil"/>
              <w:left w:val="nil"/>
              <w:bottom w:val="nil"/>
              <w:right w:val="single" w:sz="4" w:space="0" w:color="auto"/>
            </w:tcBorders>
            <w:hideMark/>
          </w:tcPr>
          <w:p w14:paraId="733F07F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Aportaciones</w:t>
            </w:r>
          </w:p>
        </w:tc>
        <w:tc>
          <w:tcPr>
            <w:tcW w:w="581" w:type="pct"/>
            <w:tcBorders>
              <w:top w:val="nil"/>
              <w:left w:val="single" w:sz="4" w:space="0" w:color="auto"/>
              <w:bottom w:val="nil"/>
              <w:right w:val="single" w:sz="4" w:space="0" w:color="auto"/>
            </w:tcBorders>
            <w:hideMark/>
          </w:tcPr>
          <w:p w14:paraId="5420664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98,003,409,659</w:t>
            </w:r>
          </w:p>
        </w:tc>
        <w:tc>
          <w:tcPr>
            <w:tcW w:w="581" w:type="pct"/>
            <w:tcBorders>
              <w:top w:val="nil"/>
              <w:left w:val="nil"/>
              <w:bottom w:val="nil"/>
              <w:right w:val="single" w:sz="4" w:space="0" w:color="auto"/>
            </w:tcBorders>
            <w:hideMark/>
          </w:tcPr>
          <w:p w14:paraId="7A01187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103,366,156,234</w:t>
            </w:r>
          </w:p>
        </w:tc>
        <w:tc>
          <w:tcPr>
            <w:tcW w:w="581" w:type="pct"/>
            <w:tcBorders>
              <w:top w:val="nil"/>
              <w:left w:val="nil"/>
              <w:bottom w:val="nil"/>
              <w:right w:val="single" w:sz="4" w:space="0" w:color="auto"/>
            </w:tcBorders>
            <w:hideMark/>
          </w:tcPr>
          <w:p w14:paraId="1715A46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109,022,352,303</w:t>
            </w:r>
          </w:p>
        </w:tc>
        <w:tc>
          <w:tcPr>
            <w:tcW w:w="581" w:type="pct"/>
            <w:tcBorders>
              <w:top w:val="nil"/>
              <w:left w:val="nil"/>
              <w:bottom w:val="nil"/>
              <w:right w:val="single" w:sz="4" w:space="0" w:color="auto"/>
            </w:tcBorders>
            <w:hideMark/>
          </w:tcPr>
          <w:p w14:paraId="34506BA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114,988,055,423</w:t>
            </w:r>
          </w:p>
        </w:tc>
        <w:tc>
          <w:tcPr>
            <w:tcW w:w="581" w:type="pct"/>
            <w:tcBorders>
              <w:top w:val="nil"/>
              <w:left w:val="nil"/>
              <w:bottom w:val="nil"/>
              <w:right w:val="single" w:sz="4" w:space="0" w:color="auto"/>
            </w:tcBorders>
            <w:hideMark/>
          </w:tcPr>
          <w:p w14:paraId="0C3F42B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121,280,201,814</w:t>
            </w:r>
          </w:p>
        </w:tc>
        <w:tc>
          <w:tcPr>
            <w:tcW w:w="667" w:type="pct"/>
            <w:tcBorders>
              <w:top w:val="nil"/>
              <w:left w:val="nil"/>
              <w:bottom w:val="nil"/>
              <w:right w:val="single" w:sz="4" w:space="0" w:color="auto"/>
            </w:tcBorders>
            <w:hideMark/>
          </w:tcPr>
          <w:p w14:paraId="71EEED72"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127,916,654,457</w:t>
            </w:r>
          </w:p>
        </w:tc>
      </w:tr>
      <w:tr w:rsidR="00CB04CD" w:rsidRPr="00E84DBE" w14:paraId="0CF32A1B" w14:textId="77777777" w:rsidTr="00CB04CD">
        <w:trPr>
          <w:trHeight w:val="227"/>
        </w:trPr>
        <w:tc>
          <w:tcPr>
            <w:tcW w:w="207" w:type="pct"/>
            <w:tcBorders>
              <w:top w:val="nil"/>
              <w:left w:val="single" w:sz="4" w:space="0" w:color="auto"/>
              <w:bottom w:val="nil"/>
              <w:right w:val="nil"/>
            </w:tcBorders>
            <w:shd w:val="clear" w:color="auto" w:fill="FFFFFF"/>
            <w:noWrap/>
            <w:hideMark/>
          </w:tcPr>
          <w:p w14:paraId="18231C3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15FD0D0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B.</w:t>
            </w:r>
          </w:p>
        </w:tc>
        <w:tc>
          <w:tcPr>
            <w:tcW w:w="1077" w:type="pct"/>
            <w:tcBorders>
              <w:top w:val="nil"/>
              <w:left w:val="nil"/>
              <w:bottom w:val="nil"/>
              <w:right w:val="single" w:sz="4" w:space="0" w:color="auto"/>
            </w:tcBorders>
            <w:hideMark/>
          </w:tcPr>
          <w:p w14:paraId="27E93968"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Convenios</w:t>
            </w:r>
          </w:p>
        </w:tc>
        <w:tc>
          <w:tcPr>
            <w:tcW w:w="581" w:type="pct"/>
            <w:tcBorders>
              <w:top w:val="nil"/>
              <w:left w:val="single" w:sz="4" w:space="0" w:color="auto"/>
              <w:bottom w:val="nil"/>
              <w:right w:val="single" w:sz="4" w:space="0" w:color="auto"/>
            </w:tcBorders>
            <w:hideMark/>
          </w:tcPr>
          <w:p w14:paraId="394C144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11,229,758,843</w:t>
            </w:r>
          </w:p>
        </w:tc>
        <w:tc>
          <w:tcPr>
            <w:tcW w:w="581" w:type="pct"/>
            <w:tcBorders>
              <w:top w:val="nil"/>
              <w:left w:val="nil"/>
              <w:bottom w:val="nil"/>
              <w:right w:val="single" w:sz="4" w:space="0" w:color="auto"/>
            </w:tcBorders>
            <w:hideMark/>
          </w:tcPr>
          <w:p w14:paraId="36B315A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11,844,251,246</w:t>
            </w:r>
          </w:p>
        </w:tc>
        <w:tc>
          <w:tcPr>
            <w:tcW w:w="581" w:type="pct"/>
            <w:tcBorders>
              <w:top w:val="nil"/>
              <w:left w:val="nil"/>
              <w:bottom w:val="nil"/>
              <w:right w:val="single" w:sz="4" w:space="0" w:color="auto"/>
            </w:tcBorders>
            <w:hideMark/>
          </w:tcPr>
          <w:p w14:paraId="0F51848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12,492,368,675</w:t>
            </w:r>
          </w:p>
        </w:tc>
        <w:tc>
          <w:tcPr>
            <w:tcW w:w="581" w:type="pct"/>
            <w:tcBorders>
              <w:top w:val="nil"/>
              <w:left w:val="nil"/>
              <w:bottom w:val="nil"/>
              <w:right w:val="single" w:sz="4" w:space="0" w:color="auto"/>
            </w:tcBorders>
            <w:hideMark/>
          </w:tcPr>
          <w:p w14:paraId="4556DE8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13,175,951,089</w:t>
            </w:r>
          </w:p>
        </w:tc>
        <w:tc>
          <w:tcPr>
            <w:tcW w:w="581" w:type="pct"/>
            <w:tcBorders>
              <w:top w:val="nil"/>
              <w:left w:val="nil"/>
              <w:bottom w:val="nil"/>
              <w:right w:val="single" w:sz="4" w:space="0" w:color="auto"/>
            </w:tcBorders>
            <w:hideMark/>
          </w:tcPr>
          <w:p w14:paraId="30A2C71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13,896,939,134</w:t>
            </w:r>
          </w:p>
        </w:tc>
        <w:tc>
          <w:tcPr>
            <w:tcW w:w="667" w:type="pct"/>
            <w:tcBorders>
              <w:top w:val="nil"/>
              <w:left w:val="nil"/>
              <w:bottom w:val="nil"/>
              <w:right w:val="single" w:sz="4" w:space="0" w:color="auto"/>
            </w:tcBorders>
            <w:hideMark/>
          </w:tcPr>
          <w:p w14:paraId="6FBBA69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14,657,379,640</w:t>
            </w:r>
          </w:p>
        </w:tc>
      </w:tr>
      <w:tr w:rsidR="00CB04CD" w:rsidRPr="00E84DBE" w14:paraId="3B656AA9" w14:textId="77777777" w:rsidTr="00CB04CD">
        <w:trPr>
          <w:trHeight w:val="227"/>
        </w:trPr>
        <w:tc>
          <w:tcPr>
            <w:tcW w:w="207" w:type="pct"/>
            <w:tcBorders>
              <w:top w:val="nil"/>
              <w:left w:val="single" w:sz="4" w:space="0" w:color="auto"/>
              <w:bottom w:val="nil"/>
              <w:right w:val="nil"/>
            </w:tcBorders>
            <w:shd w:val="clear" w:color="auto" w:fill="FFFFFF"/>
            <w:noWrap/>
            <w:hideMark/>
          </w:tcPr>
          <w:p w14:paraId="67A2FE4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7302245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C.</w:t>
            </w:r>
          </w:p>
        </w:tc>
        <w:tc>
          <w:tcPr>
            <w:tcW w:w="1077" w:type="pct"/>
            <w:tcBorders>
              <w:top w:val="nil"/>
              <w:left w:val="nil"/>
              <w:bottom w:val="nil"/>
              <w:right w:val="single" w:sz="4" w:space="0" w:color="auto"/>
            </w:tcBorders>
            <w:hideMark/>
          </w:tcPr>
          <w:p w14:paraId="3439E891"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Fondos distintos de Aportaciones</w:t>
            </w:r>
          </w:p>
        </w:tc>
        <w:tc>
          <w:tcPr>
            <w:tcW w:w="581" w:type="pct"/>
            <w:tcBorders>
              <w:top w:val="nil"/>
              <w:left w:val="single" w:sz="4" w:space="0" w:color="auto"/>
              <w:bottom w:val="nil"/>
              <w:right w:val="single" w:sz="4" w:space="0" w:color="auto"/>
            </w:tcBorders>
            <w:hideMark/>
          </w:tcPr>
          <w:p w14:paraId="2C9BC1F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6E6DF36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B1FB73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5AC4C27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496581B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562DF03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367C6CFA" w14:textId="77777777" w:rsidTr="00CB04CD">
        <w:trPr>
          <w:trHeight w:val="227"/>
        </w:trPr>
        <w:tc>
          <w:tcPr>
            <w:tcW w:w="207" w:type="pct"/>
            <w:tcBorders>
              <w:top w:val="nil"/>
              <w:left w:val="single" w:sz="4" w:space="0" w:color="auto"/>
              <w:bottom w:val="nil"/>
              <w:right w:val="nil"/>
            </w:tcBorders>
            <w:shd w:val="clear" w:color="auto" w:fill="FFFFFF"/>
            <w:noWrap/>
            <w:hideMark/>
          </w:tcPr>
          <w:p w14:paraId="3CB9B8D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3BF451EA"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D.</w:t>
            </w:r>
          </w:p>
        </w:tc>
        <w:tc>
          <w:tcPr>
            <w:tcW w:w="1077" w:type="pct"/>
            <w:tcBorders>
              <w:top w:val="nil"/>
              <w:left w:val="nil"/>
              <w:bottom w:val="nil"/>
              <w:right w:val="single" w:sz="4" w:space="0" w:color="auto"/>
            </w:tcBorders>
            <w:hideMark/>
          </w:tcPr>
          <w:p w14:paraId="26F760FD"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Transferencias, Asignaciones, Subsidios y Subvenciones, y Pensiones y Jubilaciones</w:t>
            </w:r>
          </w:p>
        </w:tc>
        <w:tc>
          <w:tcPr>
            <w:tcW w:w="581" w:type="pct"/>
            <w:tcBorders>
              <w:top w:val="nil"/>
              <w:left w:val="single" w:sz="4" w:space="0" w:color="auto"/>
              <w:bottom w:val="nil"/>
              <w:right w:val="single" w:sz="4" w:space="0" w:color="auto"/>
            </w:tcBorders>
            <w:vAlign w:val="center"/>
            <w:hideMark/>
          </w:tcPr>
          <w:p w14:paraId="7B50A1B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5,007,882,199</w:t>
            </w:r>
          </w:p>
        </w:tc>
        <w:tc>
          <w:tcPr>
            <w:tcW w:w="581" w:type="pct"/>
            <w:tcBorders>
              <w:top w:val="nil"/>
              <w:left w:val="nil"/>
              <w:bottom w:val="nil"/>
              <w:right w:val="single" w:sz="4" w:space="0" w:color="auto"/>
            </w:tcBorders>
            <w:vAlign w:val="center"/>
            <w:hideMark/>
          </w:tcPr>
          <w:p w14:paraId="5F5931E9"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5,281,913,513</w:t>
            </w:r>
          </w:p>
        </w:tc>
        <w:tc>
          <w:tcPr>
            <w:tcW w:w="581" w:type="pct"/>
            <w:tcBorders>
              <w:top w:val="nil"/>
              <w:left w:val="nil"/>
              <w:bottom w:val="nil"/>
              <w:right w:val="single" w:sz="4" w:space="0" w:color="auto"/>
            </w:tcBorders>
            <w:vAlign w:val="center"/>
            <w:hideMark/>
          </w:tcPr>
          <w:p w14:paraId="7BDCB3A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5,570,939,820</w:t>
            </w:r>
          </w:p>
        </w:tc>
        <w:tc>
          <w:tcPr>
            <w:tcW w:w="581" w:type="pct"/>
            <w:tcBorders>
              <w:top w:val="nil"/>
              <w:left w:val="nil"/>
              <w:bottom w:val="nil"/>
              <w:right w:val="single" w:sz="4" w:space="0" w:color="auto"/>
            </w:tcBorders>
            <w:vAlign w:val="center"/>
            <w:hideMark/>
          </w:tcPr>
          <w:p w14:paraId="5CE4D8B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5,875,781,648</w:t>
            </w:r>
          </w:p>
        </w:tc>
        <w:tc>
          <w:tcPr>
            <w:tcW w:w="581" w:type="pct"/>
            <w:tcBorders>
              <w:top w:val="nil"/>
              <w:left w:val="nil"/>
              <w:bottom w:val="nil"/>
              <w:right w:val="single" w:sz="4" w:space="0" w:color="auto"/>
            </w:tcBorders>
            <w:vAlign w:val="center"/>
            <w:hideMark/>
          </w:tcPr>
          <w:p w14:paraId="525BF18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6,197,304,419</w:t>
            </w:r>
          </w:p>
        </w:tc>
        <w:tc>
          <w:tcPr>
            <w:tcW w:w="667" w:type="pct"/>
            <w:tcBorders>
              <w:top w:val="nil"/>
              <w:left w:val="nil"/>
              <w:bottom w:val="nil"/>
              <w:right w:val="single" w:sz="4" w:space="0" w:color="auto"/>
            </w:tcBorders>
            <w:vAlign w:val="center"/>
            <w:hideMark/>
          </w:tcPr>
          <w:p w14:paraId="2C4D8F3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6,536,420,917</w:t>
            </w:r>
          </w:p>
        </w:tc>
      </w:tr>
      <w:tr w:rsidR="00CB04CD" w:rsidRPr="00E84DBE" w14:paraId="5FA0C9EB" w14:textId="77777777" w:rsidTr="00CB04CD">
        <w:trPr>
          <w:trHeight w:val="227"/>
        </w:trPr>
        <w:tc>
          <w:tcPr>
            <w:tcW w:w="207" w:type="pct"/>
            <w:tcBorders>
              <w:top w:val="nil"/>
              <w:left w:val="single" w:sz="4" w:space="0" w:color="auto"/>
              <w:bottom w:val="nil"/>
              <w:right w:val="nil"/>
            </w:tcBorders>
            <w:shd w:val="clear" w:color="auto" w:fill="FFFFFF"/>
            <w:noWrap/>
            <w:hideMark/>
          </w:tcPr>
          <w:p w14:paraId="5E6D828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2A35F287"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E.</w:t>
            </w:r>
          </w:p>
        </w:tc>
        <w:tc>
          <w:tcPr>
            <w:tcW w:w="1077" w:type="pct"/>
            <w:tcBorders>
              <w:top w:val="nil"/>
              <w:left w:val="nil"/>
              <w:bottom w:val="nil"/>
              <w:right w:val="single" w:sz="4" w:space="0" w:color="auto"/>
            </w:tcBorders>
            <w:hideMark/>
          </w:tcPr>
          <w:p w14:paraId="72A5EB53"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Otras Transferencias Federales Etiquetadas</w:t>
            </w:r>
          </w:p>
        </w:tc>
        <w:tc>
          <w:tcPr>
            <w:tcW w:w="581" w:type="pct"/>
            <w:tcBorders>
              <w:top w:val="nil"/>
              <w:left w:val="single" w:sz="4" w:space="0" w:color="auto"/>
              <w:bottom w:val="nil"/>
              <w:right w:val="single" w:sz="4" w:space="0" w:color="auto"/>
            </w:tcBorders>
            <w:hideMark/>
          </w:tcPr>
          <w:p w14:paraId="6241B78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0E2A90E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1206E0F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2CF129CA"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hideMark/>
          </w:tcPr>
          <w:p w14:paraId="3ADCFDD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hideMark/>
          </w:tcPr>
          <w:p w14:paraId="4B037B5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0B94E021" w14:textId="77777777" w:rsidTr="00CB04CD">
        <w:trPr>
          <w:trHeight w:val="227"/>
        </w:trPr>
        <w:tc>
          <w:tcPr>
            <w:tcW w:w="207" w:type="pct"/>
            <w:tcBorders>
              <w:top w:val="nil"/>
              <w:left w:val="single" w:sz="4" w:space="0" w:color="auto"/>
              <w:bottom w:val="nil"/>
              <w:right w:val="nil"/>
            </w:tcBorders>
            <w:shd w:val="clear" w:color="auto" w:fill="FFFFFF"/>
            <w:noWrap/>
            <w:hideMark/>
          </w:tcPr>
          <w:p w14:paraId="366F377B"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63B02DDE" w14:textId="77777777" w:rsidR="00CB04CD" w:rsidRPr="00E84DBE" w:rsidRDefault="00CB04CD">
            <w:pPr>
              <w:rPr>
                <w:rFonts w:eastAsia="Times New Roman" w:cs="Arial"/>
                <w:sz w:val="14"/>
                <w:szCs w:val="14"/>
                <w:lang w:eastAsia="es-MX"/>
              </w:rPr>
            </w:pPr>
          </w:p>
        </w:tc>
        <w:tc>
          <w:tcPr>
            <w:tcW w:w="1077" w:type="pct"/>
            <w:tcBorders>
              <w:top w:val="nil"/>
              <w:left w:val="nil"/>
              <w:bottom w:val="nil"/>
              <w:right w:val="single" w:sz="4" w:space="0" w:color="auto"/>
            </w:tcBorders>
            <w:hideMark/>
          </w:tcPr>
          <w:p w14:paraId="78DC82B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single" w:sz="4" w:space="0" w:color="auto"/>
              <w:bottom w:val="nil"/>
              <w:right w:val="single" w:sz="4" w:space="0" w:color="auto"/>
            </w:tcBorders>
            <w:hideMark/>
          </w:tcPr>
          <w:p w14:paraId="3E8FF4A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33AAB29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36933775"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48C35819"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581" w:type="pct"/>
            <w:tcBorders>
              <w:top w:val="nil"/>
              <w:left w:val="nil"/>
              <w:bottom w:val="nil"/>
              <w:right w:val="single" w:sz="4" w:space="0" w:color="auto"/>
            </w:tcBorders>
            <w:hideMark/>
          </w:tcPr>
          <w:p w14:paraId="091793B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667" w:type="pct"/>
            <w:tcBorders>
              <w:top w:val="nil"/>
              <w:left w:val="nil"/>
              <w:bottom w:val="nil"/>
              <w:right w:val="single" w:sz="4" w:space="0" w:color="auto"/>
            </w:tcBorders>
            <w:hideMark/>
          </w:tcPr>
          <w:p w14:paraId="6889DA9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r>
      <w:tr w:rsidR="00CB04CD" w:rsidRPr="00E84DBE" w14:paraId="38820CB8" w14:textId="77777777" w:rsidTr="00CB04CD">
        <w:trPr>
          <w:trHeight w:val="227"/>
        </w:trPr>
        <w:tc>
          <w:tcPr>
            <w:tcW w:w="207" w:type="pct"/>
            <w:tcBorders>
              <w:top w:val="nil"/>
              <w:left w:val="single" w:sz="4" w:space="0" w:color="auto"/>
              <w:bottom w:val="nil"/>
              <w:right w:val="nil"/>
            </w:tcBorders>
            <w:shd w:val="clear" w:color="auto" w:fill="FFFFFF"/>
            <w:noWrap/>
            <w:hideMark/>
          </w:tcPr>
          <w:p w14:paraId="696707B6"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223" w:type="pct"/>
            <w:gridSpan w:val="2"/>
            <w:tcBorders>
              <w:top w:val="nil"/>
              <w:left w:val="nil"/>
              <w:bottom w:val="nil"/>
              <w:right w:val="single" w:sz="4" w:space="0" w:color="000000"/>
            </w:tcBorders>
            <w:hideMark/>
          </w:tcPr>
          <w:p w14:paraId="309FB406"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 Financiamientos</w:t>
            </w:r>
            <w:r w:rsidRPr="00E84DBE">
              <w:rPr>
                <w:rFonts w:eastAsia="Times New Roman" w:cs="Arial"/>
                <w:b/>
                <w:bCs/>
                <w:sz w:val="14"/>
                <w:szCs w:val="14"/>
                <w:lang w:eastAsia="es-MX"/>
              </w:rPr>
              <w:br/>
              <w:t>(3 = A)</w:t>
            </w:r>
          </w:p>
        </w:tc>
        <w:tc>
          <w:tcPr>
            <w:tcW w:w="581" w:type="pct"/>
            <w:tcBorders>
              <w:top w:val="nil"/>
              <w:left w:val="single" w:sz="4" w:space="0" w:color="auto"/>
              <w:bottom w:val="nil"/>
              <w:right w:val="single" w:sz="4" w:space="0" w:color="auto"/>
            </w:tcBorders>
            <w:vAlign w:val="center"/>
            <w:hideMark/>
          </w:tcPr>
          <w:p w14:paraId="79CA1B06"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8,905,315,025</w:t>
            </w:r>
          </w:p>
        </w:tc>
        <w:tc>
          <w:tcPr>
            <w:tcW w:w="581" w:type="pct"/>
            <w:tcBorders>
              <w:top w:val="nil"/>
              <w:left w:val="nil"/>
              <w:bottom w:val="nil"/>
              <w:right w:val="single" w:sz="4" w:space="0" w:color="auto"/>
            </w:tcBorders>
            <w:vAlign w:val="center"/>
            <w:hideMark/>
          </w:tcPr>
          <w:p w14:paraId="597BB502"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10,130,905,588</w:t>
            </w:r>
          </w:p>
        </w:tc>
        <w:tc>
          <w:tcPr>
            <w:tcW w:w="581" w:type="pct"/>
            <w:tcBorders>
              <w:top w:val="nil"/>
              <w:left w:val="nil"/>
              <w:bottom w:val="nil"/>
              <w:right w:val="single" w:sz="4" w:space="0" w:color="auto"/>
            </w:tcBorders>
            <w:vAlign w:val="center"/>
            <w:hideMark/>
          </w:tcPr>
          <w:p w14:paraId="79DBE31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10,840,149,888</w:t>
            </w:r>
          </w:p>
        </w:tc>
        <w:tc>
          <w:tcPr>
            <w:tcW w:w="581" w:type="pct"/>
            <w:tcBorders>
              <w:top w:val="nil"/>
              <w:left w:val="nil"/>
              <w:bottom w:val="nil"/>
              <w:right w:val="single" w:sz="4" w:space="0" w:color="auto"/>
            </w:tcBorders>
            <w:vAlign w:val="center"/>
            <w:hideMark/>
          </w:tcPr>
          <w:p w14:paraId="03A2FF1C"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11,663,735,924</w:t>
            </w:r>
          </w:p>
        </w:tc>
        <w:tc>
          <w:tcPr>
            <w:tcW w:w="581" w:type="pct"/>
            <w:tcBorders>
              <w:top w:val="nil"/>
              <w:left w:val="nil"/>
              <w:bottom w:val="nil"/>
              <w:right w:val="single" w:sz="4" w:space="0" w:color="auto"/>
            </w:tcBorders>
            <w:vAlign w:val="center"/>
            <w:hideMark/>
          </w:tcPr>
          <w:p w14:paraId="1F21996F"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12,508,531,967</w:t>
            </w:r>
          </w:p>
        </w:tc>
        <w:tc>
          <w:tcPr>
            <w:tcW w:w="667" w:type="pct"/>
            <w:tcBorders>
              <w:top w:val="nil"/>
              <w:left w:val="nil"/>
              <w:bottom w:val="nil"/>
              <w:right w:val="single" w:sz="4" w:space="0" w:color="auto"/>
            </w:tcBorders>
            <w:vAlign w:val="center"/>
            <w:hideMark/>
          </w:tcPr>
          <w:p w14:paraId="6707FD01"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13,251,440,454</w:t>
            </w:r>
          </w:p>
        </w:tc>
      </w:tr>
      <w:tr w:rsidR="00CB04CD" w:rsidRPr="00E84DBE" w14:paraId="63EBB55E" w14:textId="77777777" w:rsidTr="00CB04CD">
        <w:trPr>
          <w:trHeight w:val="227"/>
        </w:trPr>
        <w:tc>
          <w:tcPr>
            <w:tcW w:w="207" w:type="pct"/>
            <w:tcBorders>
              <w:top w:val="nil"/>
              <w:left w:val="single" w:sz="4" w:space="0" w:color="auto"/>
              <w:bottom w:val="nil"/>
              <w:right w:val="nil"/>
            </w:tcBorders>
            <w:shd w:val="clear" w:color="auto" w:fill="FFFFFF"/>
            <w:noWrap/>
            <w:hideMark/>
          </w:tcPr>
          <w:p w14:paraId="702EC442"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 </w:t>
            </w:r>
          </w:p>
        </w:tc>
        <w:tc>
          <w:tcPr>
            <w:tcW w:w="146" w:type="pct"/>
            <w:noWrap/>
            <w:hideMark/>
          </w:tcPr>
          <w:p w14:paraId="4D2C1AE0"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A.</w:t>
            </w:r>
          </w:p>
        </w:tc>
        <w:tc>
          <w:tcPr>
            <w:tcW w:w="1077" w:type="pct"/>
            <w:tcBorders>
              <w:top w:val="nil"/>
              <w:left w:val="nil"/>
              <w:bottom w:val="nil"/>
              <w:right w:val="single" w:sz="4" w:space="0" w:color="auto"/>
            </w:tcBorders>
            <w:hideMark/>
          </w:tcPr>
          <w:p w14:paraId="300FE9C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w:t>
            </w:r>
          </w:p>
        </w:tc>
        <w:tc>
          <w:tcPr>
            <w:tcW w:w="581" w:type="pct"/>
            <w:tcBorders>
              <w:top w:val="nil"/>
              <w:left w:val="single" w:sz="4" w:space="0" w:color="auto"/>
              <w:bottom w:val="nil"/>
              <w:right w:val="single" w:sz="4" w:space="0" w:color="auto"/>
            </w:tcBorders>
            <w:hideMark/>
          </w:tcPr>
          <w:p w14:paraId="6D8942E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8,905,315,025</w:t>
            </w:r>
          </w:p>
        </w:tc>
        <w:tc>
          <w:tcPr>
            <w:tcW w:w="581" w:type="pct"/>
            <w:tcBorders>
              <w:top w:val="nil"/>
              <w:left w:val="nil"/>
              <w:bottom w:val="nil"/>
              <w:right w:val="single" w:sz="4" w:space="0" w:color="auto"/>
            </w:tcBorders>
            <w:hideMark/>
          </w:tcPr>
          <w:p w14:paraId="45D955B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10,130,905,588</w:t>
            </w:r>
          </w:p>
        </w:tc>
        <w:tc>
          <w:tcPr>
            <w:tcW w:w="581" w:type="pct"/>
            <w:tcBorders>
              <w:top w:val="nil"/>
              <w:left w:val="nil"/>
              <w:bottom w:val="nil"/>
              <w:right w:val="single" w:sz="4" w:space="0" w:color="auto"/>
            </w:tcBorders>
            <w:hideMark/>
          </w:tcPr>
          <w:p w14:paraId="3DB927D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10,840,149,888</w:t>
            </w:r>
          </w:p>
        </w:tc>
        <w:tc>
          <w:tcPr>
            <w:tcW w:w="581" w:type="pct"/>
            <w:tcBorders>
              <w:top w:val="nil"/>
              <w:left w:val="nil"/>
              <w:bottom w:val="nil"/>
              <w:right w:val="single" w:sz="4" w:space="0" w:color="auto"/>
            </w:tcBorders>
            <w:hideMark/>
          </w:tcPr>
          <w:p w14:paraId="03393F77"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11,663,735,924</w:t>
            </w:r>
          </w:p>
        </w:tc>
        <w:tc>
          <w:tcPr>
            <w:tcW w:w="581" w:type="pct"/>
            <w:tcBorders>
              <w:top w:val="nil"/>
              <w:left w:val="nil"/>
              <w:bottom w:val="nil"/>
              <w:right w:val="single" w:sz="4" w:space="0" w:color="auto"/>
            </w:tcBorders>
            <w:hideMark/>
          </w:tcPr>
          <w:p w14:paraId="4644771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12,508,531,967</w:t>
            </w:r>
          </w:p>
        </w:tc>
        <w:tc>
          <w:tcPr>
            <w:tcW w:w="667" w:type="pct"/>
            <w:tcBorders>
              <w:top w:val="nil"/>
              <w:left w:val="nil"/>
              <w:bottom w:val="nil"/>
              <w:right w:val="single" w:sz="4" w:space="0" w:color="auto"/>
            </w:tcBorders>
            <w:hideMark/>
          </w:tcPr>
          <w:p w14:paraId="4B99BCC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13,251,440,454</w:t>
            </w:r>
          </w:p>
        </w:tc>
      </w:tr>
      <w:tr w:rsidR="00CB04CD" w:rsidRPr="00E84DBE" w14:paraId="05CE9EBF" w14:textId="77777777" w:rsidTr="00CB04CD">
        <w:trPr>
          <w:trHeight w:val="227"/>
        </w:trPr>
        <w:tc>
          <w:tcPr>
            <w:tcW w:w="207" w:type="pct"/>
            <w:tcBorders>
              <w:top w:val="nil"/>
              <w:left w:val="single" w:sz="4" w:space="0" w:color="auto"/>
              <w:bottom w:val="nil"/>
              <w:right w:val="nil"/>
            </w:tcBorders>
            <w:shd w:val="clear" w:color="auto" w:fill="FFFFFF"/>
            <w:noWrap/>
            <w:hideMark/>
          </w:tcPr>
          <w:p w14:paraId="6499D540"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46" w:type="pct"/>
            <w:noWrap/>
            <w:hideMark/>
          </w:tcPr>
          <w:p w14:paraId="7C96ECFC" w14:textId="77777777" w:rsidR="00CB04CD" w:rsidRPr="00E84DBE" w:rsidRDefault="00CB04CD">
            <w:pPr>
              <w:rPr>
                <w:rFonts w:eastAsia="Times New Roman" w:cs="Arial"/>
                <w:color w:val="000000"/>
                <w:sz w:val="14"/>
                <w:szCs w:val="14"/>
                <w:lang w:eastAsia="es-MX"/>
              </w:rPr>
            </w:pPr>
          </w:p>
        </w:tc>
        <w:tc>
          <w:tcPr>
            <w:tcW w:w="1077" w:type="pct"/>
            <w:tcBorders>
              <w:top w:val="nil"/>
              <w:left w:val="nil"/>
              <w:bottom w:val="nil"/>
              <w:right w:val="single" w:sz="4" w:space="0" w:color="auto"/>
            </w:tcBorders>
            <w:hideMark/>
          </w:tcPr>
          <w:p w14:paraId="450E7F99"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single" w:sz="4" w:space="0" w:color="auto"/>
              <w:bottom w:val="nil"/>
              <w:right w:val="single" w:sz="4" w:space="0" w:color="auto"/>
            </w:tcBorders>
            <w:hideMark/>
          </w:tcPr>
          <w:p w14:paraId="5841FAC1" w14:textId="77777777" w:rsidR="00CB04CD" w:rsidRPr="00E84DBE" w:rsidRDefault="00CB04CD">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hideMark/>
          </w:tcPr>
          <w:p w14:paraId="763DA6B6" w14:textId="77777777" w:rsidR="00CB04CD" w:rsidRPr="00E84DBE" w:rsidRDefault="00CB04CD">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hideMark/>
          </w:tcPr>
          <w:p w14:paraId="363183D6" w14:textId="77777777" w:rsidR="00CB04CD" w:rsidRPr="00E84DBE" w:rsidRDefault="00CB04CD">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hideMark/>
          </w:tcPr>
          <w:p w14:paraId="249B7BFD" w14:textId="77777777" w:rsidR="00CB04CD" w:rsidRPr="00E84DBE" w:rsidRDefault="00CB04CD">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nil"/>
              <w:right w:val="single" w:sz="4" w:space="0" w:color="auto"/>
            </w:tcBorders>
            <w:hideMark/>
          </w:tcPr>
          <w:p w14:paraId="7BF06B2E" w14:textId="77777777" w:rsidR="00CB04CD" w:rsidRPr="00E84DBE" w:rsidRDefault="00CB04CD">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67" w:type="pct"/>
            <w:tcBorders>
              <w:top w:val="nil"/>
              <w:left w:val="nil"/>
              <w:bottom w:val="nil"/>
              <w:right w:val="single" w:sz="4" w:space="0" w:color="auto"/>
            </w:tcBorders>
            <w:hideMark/>
          </w:tcPr>
          <w:p w14:paraId="514CAE7C" w14:textId="77777777" w:rsidR="00CB04CD" w:rsidRPr="00E84DBE" w:rsidRDefault="00CB04CD">
            <w:pPr>
              <w:spacing w:line="240" w:lineRule="auto"/>
              <w:jc w:val="right"/>
              <w:rPr>
                <w:rFonts w:eastAsia="Times New Roman" w:cs="Arial"/>
                <w:color w:val="000000"/>
                <w:sz w:val="14"/>
                <w:szCs w:val="14"/>
                <w:lang w:eastAsia="es-MX"/>
              </w:rPr>
            </w:pPr>
            <w:r w:rsidRPr="00E84DBE">
              <w:rPr>
                <w:rFonts w:eastAsia="Times New Roman" w:cs="Arial"/>
                <w:color w:val="000000"/>
                <w:sz w:val="14"/>
                <w:szCs w:val="14"/>
                <w:lang w:eastAsia="es-MX"/>
              </w:rPr>
              <w:t> </w:t>
            </w:r>
          </w:p>
        </w:tc>
      </w:tr>
      <w:tr w:rsidR="00CB04CD" w:rsidRPr="00E84DBE" w14:paraId="07F798D5" w14:textId="77777777" w:rsidTr="00CB04CD">
        <w:trPr>
          <w:trHeight w:val="227"/>
        </w:trPr>
        <w:tc>
          <w:tcPr>
            <w:tcW w:w="207" w:type="pct"/>
            <w:tcBorders>
              <w:top w:val="nil"/>
              <w:left w:val="single" w:sz="4" w:space="0" w:color="auto"/>
              <w:bottom w:val="nil"/>
              <w:right w:val="nil"/>
            </w:tcBorders>
            <w:shd w:val="clear" w:color="auto" w:fill="FFFFFF"/>
            <w:noWrap/>
            <w:hideMark/>
          </w:tcPr>
          <w:p w14:paraId="62ACB4BD" w14:textId="77777777" w:rsidR="00CB04CD" w:rsidRPr="00E84DBE" w:rsidRDefault="00CB04CD">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4.</w:t>
            </w:r>
          </w:p>
        </w:tc>
        <w:tc>
          <w:tcPr>
            <w:tcW w:w="1223" w:type="pct"/>
            <w:gridSpan w:val="2"/>
            <w:tcBorders>
              <w:top w:val="nil"/>
              <w:left w:val="nil"/>
              <w:bottom w:val="nil"/>
              <w:right w:val="single" w:sz="4" w:space="0" w:color="000000"/>
            </w:tcBorders>
            <w:shd w:val="clear" w:color="auto" w:fill="FFFFFF"/>
            <w:hideMark/>
          </w:tcPr>
          <w:p w14:paraId="169EAF13" w14:textId="77777777" w:rsidR="00CB04CD" w:rsidRPr="00E84DBE" w:rsidRDefault="00CB04CD">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Total de Ingresos Proyectados</w:t>
            </w:r>
            <w:r w:rsidRPr="00E84DBE">
              <w:rPr>
                <w:rFonts w:eastAsia="Times New Roman" w:cs="Arial"/>
                <w:b/>
                <w:bCs/>
                <w:color w:val="000000"/>
                <w:sz w:val="14"/>
                <w:szCs w:val="14"/>
                <w:lang w:eastAsia="es-MX"/>
              </w:rPr>
              <w:br/>
              <w:t>(4 = 1+2+3)</w:t>
            </w:r>
          </w:p>
        </w:tc>
        <w:tc>
          <w:tcPr>
            <w:tcW w:w="581" w:type="pct"/>
            <w:tcBorders>
              <w:top w:val="nil"/>
              <w:left w:val="single" w:sz="4" w:space="0" w:color="auto"/>
              <w:bottom w:val="nil"/>
              <w:right w:val="single" w:sz="4" w:space="0" w:color="auto"/>
            </w:tcBorders>
            <w:shd w:val="clear" w:color="auto" w:fill="FFFFFF"/>
            <w:vAlign w:val="center"/>
            <w:hideMark/>
          </w:tcPr>
          <w:p w14:paraId="60AF1B68"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356,816,941,532</w:t>
            </w:r>
          </w:p>
        </w:tc>
        <w:tc>
          <w:tcPr>
            <w:tcW w:w="581" w:type="pct"/>
            <w:tcBorders>
              <w:top w:val="nil"/>
              <w:left w:val="nil"/>
              <w:bottom w:val="nil"/>
              <w:right w:val="single" w:sz="4" w:space="0" w:color="auto"/>
            </w:tcBorders>
            <w:vAlign w:val="center"/>
            <w:hideMark/>
          </w:tcPr>
          <w:p w14:paraId="38BB44C4"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377,187,909,332</w:t>
            </w:r>
          </w:p>
        </w:tc>
        <w:tc>
          <w:tcPr>
            <w:tcW w:w="581" w:type="pct"/>
            <w:tcBorders>
              <w:top w:val="nil"/>
              <w:left w:val="nil"/>
              <w:bottom w:val="nil"/>
              <w:right w:val="single" w:sz="4" w:space="0" w:color="auto"/>
            </w:tcBorders>
            <w:vAlign w:val="center"/>
            <w:hideMark/>
          </w:tcPr>
          <w:p w14:paraId="0349E0D5"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397,882,312,425</w:t>
            </w:r>
          </w:p>
        </w:tc>
        <w:tc>
          <w:tcPr>
            <w:tcW w:w="581" w:type="pct"/>
            <w:tcBorders>
              <w:top w:val="nil"/>
              <w:left w:val="nil"/>
              <w:bottom w:val="nil"/>
              <w:right w:val="single" w:sz="4" w:space="0" w:color="auto"/>
            </w:tcBorders>
            <w:vAlign w:val="center"/>
            <w:hideMark/>
          </w:tcPr>
          <w:p w14:paraId="444305C0"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420,451,914,215</w:t>
            </w:r>
          </w:p>
        </w:tc>
        <w:tc>
          <w:tcPr>
            <w:tcW w:w="581" w:type="pct"/>
            <w:tcBorders>
              <w:top w:val="nil"/>
              <w:left w:val="nil"/>
              <w:bottom w:val="nil"/>
              <w:right w:val="single" w:sz="4" w:space="0" w:color="auto"/>
            </w:tcBorders>
            <w:vAlign w:val="center"/>
            <w:hideMark/>
          </w:tcPr>
          <w:p w14:paraId="5A405D55"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443,871,006,112</w:t>
            </w:r>
          </w:p>
        </w:tc>
        <w:tc>
          <w:tcPr>
            <w:tcW w:w="667" w:type="pct"/>
            <w:tcBorders>
              <w:top w:val="nil"/>
              <w:left w:val="nil"/>
              <w:bottom w:val="nil"/>
              <w:right w:val="single" w:sz="4" w:space="0" w:color="auto"/>
            </w:tcBorders>
            <w:vAlign w:val="center"/>
            <w:hideMark/>
          </w:tcPr>
          <w:p w14:paraId="72497AC4"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468,611,966,079</w:t>
            </w:r>
          </w:p>
        </w:tc>
      </w:tr>
      <w:tr w:rsidR="00CB04CD" w:rsidRPr="00E84DBE" w14:paraId="5D136052" w14:textId="77777777" w:rsidTr="00CB04CD">
        <w:trPr>
          <w:trHeight w:val="227"/>
        </w:trPr>
        <w:tc>
          <w:tcPr>
            <w:tcW w:w="207" w:type="pct"/>
            <w:tcBorders>
              <w:top w:val="nil"/>
              <w:left w:val="single" w:sz="4" w:space="0" w:color="auto"/>
              <w:bottom w:val="nil"/>
              <w:right w:val="nil"/>
            </w:tcBorders>
            <w:shd w:val="clear" w:color="auto" w:fill="FFFFFF"/>
            <w:noWrap/>
            <w:hideMark/>
          </w:tcPr>
          <w:p w14:paraId="40AEDEF2" w14:textId="77777777" w:rsidR="00CB04CD" w:rsidRPr="00E84DBE" w:rsidRDefault="00CB04CD">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146" w:type="pct"/>
            <w:shd w:val="clear" w:color="auto" w:fill="FFFFFF"/>
            <w:hideMark/>
          </w:tcPr>
          <w:p w14:paraId="0FABD344" w14:textId="77777777" w:rsidR="00CB04CD" w:rsidRPr="00E84DBE" w:rsidRDefault="00CB04CD">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1077" w:type="pct"/>
            <w:tcBorders>
              <w:top w:val="nil"/>
              <w:left w:val="nil"/>
              <w:bottom w:val="nil"/>
              <w:right w:val="single" w:sz="4" w:space="0" w:color="auto"/>
            </w:tcBorders>
            <w:shd w:val="clear" w:color="auto" w:fill="FFFFFF"/>
            <w:hideMark/>
          </w:tcPr>
          <w:p w14:paraId="4DD49A04" w14:textId="77777777" w:rsidR="00CB04CD" w:rsidRPr="00E84DBE" w:rsidRDefault="00CB04CD">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single" w:sz="4" w:space="0" w:color="auto"/>
              <w:bottom w:val="nil"/>
              <w:right w:val="single" w:sz="4" w:space="0" w:color="auto"/>
            </w:tcBorders>
            <w:shd w:val="clear" w:color="auto" w:fill="FFFFFF"/>
            <w:hideMark/>
          </w:tcPr>
          <w:p w14:paraId="70255BC6"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643EB057"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53FFEBB8"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1C02E430"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35F8BFF5"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667" w:type="pct"/>
            <w:tcBorders>
              <w:top w:val="nil"/>
              <w:left w:val="nil"/>
              <w:bottom w:val="nil"/>
              <w:right w:val="single" w:sz="4" w:space="0" w:color="auto"/>
            </w:tcBorders>
            <w:shd w:val="clear" w:color="auto" w:fill="FFFFFF"/>
            <w:hideMark/>
          </w:tcPr>
          <w:p w14:paraId="22E8EE86"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r>
      <w:tr w:rsidR="00CB04CD" w:rsidRPr="00E84DBE" w14:paraId="0CF7EF65" w14:textId="77777777" w:rsidTr="00CB04CD">
        <w:trPr>
          <w:trHeight w:val="227"/>
        </w:trPr>
        <w:tc>
          <w:tcPr>
            <w:tcW w:w="1430" w:type="pct"/>
            <w:gridSpan w:val="3"/>
            <w:tcBorders>
              <w:top w:val="nil"/>
              <w:left w:val="single" w:sz="4" w:space="0" w:color="auto"/>
              <w:bottom w:val="nil"/>
              <w:right w:val="single" w:sz="4" w:space="0" w:color="000000"/>
            </w:tcBorders>
            <w:shd w:val="clear" w:color="auto" w:fill="FFFFFF"/>
            <w:noWrap/>
            <w:hideMark/>
          </w:tcPr>
          <w:p w14:paraId="4B631B3B" w14:textId="77777777" w:rsidR="00CB04CD" w:rsidRPr="00E84DBE" w:rsidRDefault="00CB04CD">
            <w:pPr>
              <w:spacing w:line="240" w:lineRule="auto"/>
              <w:rPr>
                <w:rFonts w:eastAsia="Times New Roman" w:cs="Arial"/>
                <w:b/>
                <w:bCs/>
                <w:color w:val="000000"/>
                <w:sz w:val="14"/>
                <w:szCs w:val="14"/>
                <w:lang w:eastAsia="es-MX"/>
              </w:rPr>
            </w:pPr>
            <w:r w:rsidRPr="00E84DBE">
              <w:rPr>
                <w:rFonts w:eastAsia="Times New Roman" w:cs="Arial"/>
                <w:b/>
                <w:bCs/>
                <w:color w:val="000000"/>
                <w:sz w:val="14"/>
                <w:szCs w:val="14"/>
                <w:lang w:eastAsia="es-MX"/>
              </w:rPr>
              <w:t>Datos Informativos</w:t>
            </w:r>
          </w:p>
        </w:tc>
        <w:tc>
          <w:tcPr>
            <w:tcW w:w="581" w:type="pct"/>
            <w:tcBorders>
              <w:top w:val="nil"/>
              <w:left w:val="single" w:sz="4" w:space="0" w:color="auto"/>
              <w:bottom w:val="nil"/>
              <w:right w:val="single" w:sz="4" w:space="0" w:color="auto"/>
            </w:tcBorders>
            <w:shd w:val="clear" w:color="auto" w:fill="FFFFFF"/>
            <w:hideMark/>
          </w:tcPr>
          <w:p w14:paraId="3418806C"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2B038ED8"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428BC59E"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07290D60"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581" w:type="pct"/>
            <w:tcBorders>
              <w:top w:val="nil"/>
              <w:left w:val="nil"/>
              <w:bottom w:val="nil"/>
              <w:right w:val="single" w:sz="4" w:space="0" w:color="auto"/>
            </w:tcBorders>
            <w:shd w:val="clear" w:color="auto" w:fill="FFFFFF"/>
            <w:hideMark/>
          </w:tcPr>
          <w:p w14:paraId="4CF2E095"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c>
          <w:tcPr>
            <w:tcW w:w="667" w:type="pct"/>
            <w:tcBorders>
              <w:top w:val="nil"/>
              <w:left w:val="nil"/>
              <w:bottom w:val="nil"/>
              <w:right w:val="single" w:sz="4" w:space="0" w:color="auto"/>
            </w:tcBorders>
            <w:shd w:val="clear" w:color="auto" w:fill="FFFFFF"/>
            <w:hideMark/>
          </w:tcPr>
          <w:p w14:paraId="1C9EA3A0" w14:textId="77777777" w:rsidR="00CB04CD" w:rsidRPr="00E84DBE" w:rsidRDefault="00CB04CD">
            <w:pPr>
              <w:spacing w:line="240" w:lineRule="auto"/>
              <w:jc w:val="right"/>
              <w:rPr>
                <w:rFonts w:eastAsia="Times New Roman" w:cs="Arial"/>
                <w:b/>
                <w:bCs/>
                <w:color w:val="000000"/>
                <w:sz w:val="14"/>
                <w:szCs w:val="14"/>
                <w:lang w:eastAsia="es-MX"/>
              </w:rPr>
            </w:pPr>
            <w:r w:rsidRPr="00E84DBE">
              <w:rPr>
                <w:rFonts w:eastAsia="Times New Roman" w:cs="Arial"/>
                <w:b/>
                <w:bCs/>
                <w:color w:val="000000"/>
                <w:sz w:val="14"/>
                <w:szCs w:val="14"/>
                <w:lang w:eastAsia="es-MX"/>
              </w:rPr>
              <w:t> </w:t>
            </w:r>
          </w:p>
        </w:tc>
      </w:tr>
      <w:tr w:rsidR="00CB04CD" w:rsidRPr="00E84DBE" w14:paraId="753E08BC" w14:textId="77777777" w:rsidTr="00CB04CD">
        <w:trPr>
          <w:trHeight w:val="227"/>
        </w:trPr>
        <w:tc>
          <w:tcPr>
            <w:tcW w:w="207" w:type="pct"/>
            <w:tcBorders>
              <w:top w:val="nil"/>
              <w:left w:val="single" w:sz="4" w:space="0" w:color="auto"/>
              <w:bottom w:val="nil"/>
              <w:right w:val="nil"/>
            </w:tcBorders>
            <w:shd w:val="clear" w:color="auto" w:fill="FFFFFF"/>
            <w:noWrap/>
            <w:hideMark/>
          </w:tcPr>
          <w:p w14:paraId="1EA7A6F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1.</w:t>
            </w:r>
          </w:p>
        </w:tc>
        <w:tc>
          <w:tcPr>
            <w:tcW w:w="1223" w:type="pct"/>
            <w:gridSpan w:val="2"/>
            <w:tcBorders>
              <w:top w:val="nil"/>
              <w:left w:val="nil"/>
              <w:bottom w:val="nil"/>
              <w:right w:val="single" w:sz="4" w:space="0" w:color="000000"/>
            </w:tcBorders>
            <w:hideMark/>
          </w:tcPr>
          <w:p w14:paraId="20BE4C0C"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Recursos de Libre Disposición</w:t>
            </w:r>
          </w:p>
        </w:tc>
        <w:tc>
          <w:tcPr>
            <w:tcW w:w="581" w:type="pct"/>
            <w:tcBorders>
              <w:top w:val="nil"/>
              <w:left w:val="single" w:sz="4" w:space="0" w:color="auto"/>
              <w:bottom w:val="nil"/>
              <w:right w:val="single" w:sz="4" w:space="0" w:color="auto"/>
            </w:tcBorders>
            <w:shd w:val="clear" w:color="auto" w:fill="FFFFFF"/>
            <w:vAlign w:val="center"/>
            <w:hideMark/>
          </w:tcPr>
          <w:p w14:paraId="3F781FC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8,905,315,025</w:t>
            </w:r>
          </w:p>
        </w:tc>
        <w:tc>
          <w:tcPr>
            <w:tcW w:w="581" w:type="pct"/>
            <w:tcBorders>
              <w:top w:val="nil"/>
              <w:left w:val="nil"/>
              <w:bottom w:val="nil"/>
              <w:right w:val="single" w:sz="4" w:space="0" w:color="auto"/>
            </w:tcBorders>
            <w:shd w:val="clear" w:color="auto" w:fill="FFFFFF"/>
            <w:vAlign w:val="center"/>
            <w:hideMark/>
          </w:tcPr>
          <w:p w14:paraId="7E690B8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10,130,905,588</w:t>
            </w:r>
          </w:p>
        </w:tc>
        <w:tc>
          <w:tcPr>
            <w:tcW w:w="581" w:type="pct"/>
            <w:tcBorders>
              <w:top w:val="nil"/>
              <w:left w:val="nil"/>
              <w:bottom w:val="nil"/>
              <w:right w:val="single" w:sz="4" w:space="0" w:color="auto"/>
            </w:tcBorders>
            <w:shd w:val="clear" w:color="auto" w:fill="FFFFFF"/>
            <w:vAlign w:val="center"/>
            <w:hideMark/>
          </w:tcPr>
          <w:p w14:paraId="1EED521B"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10,840,149,888</w:t>
            </w:r>
          </w:p>
        </w:tc>
        <w:tc>
          <w:tcPr>
            <w:tcW w:w="581" w:type="pct"/>
            <w:tcBorders>
              <w:top w:val="nil"/>
              <w:left w:val="nil"/>
              <w:bottom w:val="nil"/>
              <w:right w:val="single" w:sz="4" w:space="0" w:color="auto"/>
            </w:tcBorders>
            <w:shd w:val="clear" w:color="auto" w:fill="FFFFFF"/>
            <w:vAlign w:val="center"/>
            <w:hideMark/>
          </w:tcPr>
          <w:p w14:paraId="117391AE"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11,663,735,924</w:t>
            </w:r>
          </w:p>
        </w:tc>
        <w:tc>
          <w:tcPr>
            <w:tcW w:w="581" w:type="pct"/>
            <w:tcBorders>
              <w:top w:val="nil"/>
              <w:left w:val="nil"/>
              <w:bottom w:val="nil"/>
              <w:right w:val="single" w:sz="4" w:space="0" w:color="auto"/>
            </w:tcBorders>
            <w:shd w:val="clear" w:color="auto" w:fill="FFFFFF"/>
            <w:vAlign w:val="center"/>
            <w:hideMark/>
          </w:tcPr>
          <w:p w14:paraId="19A878B6"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12,508,531,967</w:t>
            </w:r>
          </w:p>
        </w:tc>
        <w:tc>
          <w:tcPr>
            <w:tcW w:w="667" w:type="pct"/>
            <w:tcBorders>
              <w:top w:val="nil"/>
              <w:left w:val="nil"/>
              <w:bottom w:val="nil"/>
              <w:right w:val="single" w:sz="4" w:space="0" w:color="auto"/>
            </w:tcBorders>
            <w:shd w:val="clear" w:color="auto" w:fill="FFFFFF"/>
            <w:vAlign w:val="center"/>
            <w:hideMark/>
          </w:tcPr>
          <w:p w14:paraId="6F2B8FF1"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13,251,440,454</w:t>
            </w:r>
          </w:p>
        </w:tc>
      </w:tr>
      <w:tr w:rsidR="00CB04CD" w:rsidRPr="00E84DBE" w14:paraId="579B50F8" w14:textId="77777777" w:rsidTr="00CB04CD">
        <w:trPr>
          <w:trHeight w:val="227"/>
        </w:trPr>
        <w:tc>
          <w:tcPr>
            <w:tcW w:w="207" w:type="pct"/>
            <w:tcBorders>
              <w:top w:val="nil"/>
              <w:left w:val="single" w:sz="4" w:space="0" w:color="auto"/>
              <w:bottom w:val="nil"/>
              <w:right w:val="nil"/>
            </w:tcBorders>
            <w:shd w:val="clear" w:color="auto" w:fill="FFFFFF"/>
            <w:noWrap/>
            <w:hideMark/>
          </w:tcPr>
          <w:p w14:paraId="67E1FB9F"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2.</w:t>
            </w:r>
          </w:p>
        </w:tc>
        <w:tc>
          <w:tcPr>
            <w:tcW w:w="1223" w:type="pct"/>
            <w:gridSpan w:val="2"/>
            <w:tcBorders>
              <w:top w:val="nil"/>
              <w:left w:val="nil"/>
              <w:bottom w:val="nil"/>
              <w:right w:val="single" w:sz="4" w:space="0" w:color="000000"/>
            </w:tcBorders>
            <w:hideMark/>
          </w:tcPr>
          <w:p w14:paraId="637EEF2E" w14:textId="77777777" w:rsidR="00CB04CD" w:rsidRPr="00E84DBE" w:rsidRDefault="00CB04CD">
            <w:pPr>
              <w:spacing w:line="240" w:lineRule="auto"/>
              <w:rPr>
                <w:rFonts w:eastAsia="Times New Roman" w:cs="Arial"/>
                <w:sz w:val="14"/>
                <w:szCs w:val="14"/>
                <w:lang w:eastAsia="es-MX"/>
              </w:rPr>
            </w:pPr>
            <w:r w:rsidRPr="00E84DBE">
              <w:rPr>
                <w:rFonts w:eastAsia="Times New Roman" w:cs="Arial"/>
                <w:sz w:val="14"/>
                <w:szCs w:val="14"/>
                <w:lang w:eastAsia="es-MX"/>
              </w:rPr>
              <w:t>Ingresos derivados de Financiamientos con Fuente de Pago de Transferencias Federales Etiquetadas</w:t>
            </w:r>
          </w:p>
        </w:tc>
        <w:tc>
          <w:tcPr>
            <w:tcW w:w="581" w:type="pct"/>
            <w:tcBorders>
              <w:top w:val="nil"/>
              <w:left w:val="single" w:sz="4" w:space="0" w:color="auto"/>
              <w:bottom w:val="nil"/>
              <w:right w:val="single" w:sz="4" w:space="0" w:color="auto"/>
            </w:tcBorders>
            <w:shd w:val="clear" w:color="auto" w:fill="FFFFFF"/>
            <w:vAlign w:val="center"/>
            <w:hideMark/>
          </w:tcPr>
          <w:p w14:paraId="17AAB18C"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0A6A08AD"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20DB8CE5"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21B901F0"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581" w:type="pct"/>
            <w:tcBorders>
              <w:top w:val="nil"/>
              <w:left w:val="nil"/>
              <w:bottom w:val="nil"/>
              <w:right w:val="single" w:sz="4" w:space="0" w:color="auto"/>
            </w:tcBorders>
            <w:shd w:val="clear" w:color="auto" w:fill="FFFFFF"/>
            <w:vAlign w:val="center"/>
            <w:hideMark/>
          </w:tcPr>
          <w:p w14:paraId="518C185F"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c>
          <w:tcPr>
            <w:tcW w:w="667" w:type="pct"/>
            <w:tcBorders>
              <w:top w:val="nil"/>
              <w:left w:val="nil"/>
              <w:bottom w:val="nil"/>
              <w:right w:val="single" w:sz="4" w:space="0" w:color="auto"/>
            </w:tcBorders>
            <w:shd w:val="clear" w:color="auto" w:fill="FFFFFF"/>
            <w:vAlign w:val="center"/>
            <w:hideMark/>
          </w:tcPr>
          <w:p w14:paraId="068FD998" w14:textId="77777777" w:rsidR="00CB04CD" w:rsidRPr="00E84DBE" w:rsidRDefault="00CB04CD">
            <w:pPr>
              <w:spacing w:line="240" w:lineRule="auto"/>
              <w:jc w:val="right"/>
              <w:rPr>
                <w:rFonts w:eastAsia="Times New Roman" w:cs="Arial"/>
                <w:sz w:val="14"/>
                <w:szCs w:val="14"/>
                <w:lang w:eastAsia="es-MX"/>
              </w:rPr>
            </w:pPr>
            <w:r w:rsidRPr="00E84DBE">
              <w:rPr>
                <w:rFonts w:eastAsia="Times New Roman" w:cs="Arial"/>
                <w:sz w:val="14"/>
                <w:szCs w:val="14"/>
                <w:lang w:eastAsia="es-MX"/>
              </w:rPr>
              <w:t>0</w:t>
            </w:r>
          </w:p>
        </w:tc>
      </w:tr>
      <w:tr w:rsidR="00CB04CD" w:rsidRPr="00E84DBE" w14:paraId="582E02FB" w14:textId="77777777" w:rsidTr="00CB04CD">
        <w:trPr>
          <w:trHeight w:val="227"/>
        </w:trPr>
        <w:tc>
          <w:tcPr>
            <w:tcW w:w="207" w:type="pct"/>
            <w:tcBorders>
              <w:top w:val="nil"/>
              <w:left w:val="single" w:sz="4" w:space="0" w:color="auto"/>
              <w:bottom w:val="nil"/>
              <w:right w:val="nil"/>
            </w:tcBorders>
            <w:shd w:val="clear" w:color="auto" w:fill="FFFFFF"/>
            <w:noWrap/>
            <w:hideMark/>
          </w:tcPr>
          <w:p w14:paraId="7C7E0F22"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3.</w:t>
            </w:r>
          </w:p>
        </w:tc>
        <w:tc>
          <w:tcPr>
            <w:tcW w:w="1223" w:type="pct"/>
            <w:gridSpan w:val="2"/>
            <w:tcBorders>
              <w:top w:val="nil"/>
              <w:left w:val="nil"/>
              <w:bottom w:val="nil"/>
              <w:right w:val="single" w:sz="4" w:space="0" w:color="000000"/>
            </w:tcBorders>
            <w:shd w:val="clear" w:color="auto" w:fill="FFFFFF"/>
            <w:hideMark/>
          </w:tcPr>
          <w:p w14:paraId="0B1791C7" w14:textId="77777777" w:rsidR="00CB04CD" w:rsidRPr="00E84DBE" w:rsidRDefault="00CB04CD">
            <w:pPr>
              <w:spacing w:line="240" w:lineRule="auto"/>
              <w:rPr>
                <w:rFonts w:eastAsia="Times New Roman" w:cs="Arial"/>
                <w:b/>
                <w:bCs/>
                <w:sz w:val="14"/>
                <w:szCs w:val="14"/>
                <w:lang w:eastAsia="es-MX"/>
              </w:rPr>
            </w:pPr>
            <w:r w:rsidRPr="00E84DBE">
              <w:rPr>
                <w:rFonts w:eastAsia="Times New Roman" w:cs="Arial"/>
                <w:b/>
                <w:bCs/>
                <w:sz w:val="14"/>
                <w:szCs w:val="14"/>
                <w:lang w:eastAsia="es-MX"/>
              </w:rPr>
              <w:t>Ingresos Derivados de Financiamiento</w:t>
            </w:r>
            <w:r w:rsidRPr="00E84DBE">
              <w:rPr>
                <w:rFonts w:eastAsia="Times New Roman" w:cs="Arial"/>
                <w:b/>
                <w:bCs/>
                <w:sz w:val="14"/>
                <w:szCs w:val="14"/>
                <w:lang w:eastAsia="es-MX"/>
              </w:rPr>
              <w:br/>
              <w:t>(3 = 1 + 2)</w:t>
            </w:r>
          </w:p>
        </w:tc>
        <w:tc>
          <w:tcPr>
            <w:tcW w:w="581" w:type="pct"/>
            <w:tcBorders>
              <w:top w:val="nil"/>
              <w:left w:val="single" w:sz="4" w:space="0" w:color="auto"/>
              <w:bottom w:val="nil"/>
              <w:right w:val="single" w:sz="4" w:space="0" w:color="auto"/>
            </w:tcBorders>
            <w:shd w:val="clear" w:color="auto" w:fill="FFFFFF"/>
            <w:vAlign w:val="center"/>
            <w:hideMark/>
          </w:tcPr>
          <w:p w14:paraId="22402DA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8,905,315,025</w:t>
            </w:r>
          </w:p>
        </w:tc>
        <w:tc>
          <w:tcPr>
            <w:tcW w:w="581" w:type="pct"/>
            <w:tcBorders>
              <w:top w:val="nil"/>
              <w:left w:val="nil"/>
              <w:bottom w:val="nil"/>
              <w:right w:val="single" w:sz="4" w:space="0" w:color="auto"/>
            </w:tcBorders>
            <w:shd w:val="clear" w:color="auto" w:fill="FFFFFF"/>
            <w:vAlign w:val="center"/>
            <w:hideMark/>
          </w:tcPr>
          <w:p w14:paraId="13250A0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10,130,905,588</w:t>
            </w:r>
          </w:p>
        </w:tc>
        <w:tc>
          <w:tcPr>
            <w:tcW w:w="581" w:type="pct"/>
            <w:tcBorders>
              <w:top w:val="nil"/>
              <w:left w:val="nil"/>
              <w:bottom w:val="nil"/>
              <w:right w:val="single" w:sz="4" w:space="0" w:color="auto"/>
            </w:tcBorders>
            <w:shd w:val="clear" w:color="auto" w:fill="FFFFFF"/>
            <w:vAlign w:val="center"/>
            <w:hideMark/>
          </w:tcPr>
          <w:p w14:paraId="0EFEB9FD"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10,840,149,888</w:t>
            </w:r>
          </w:p>
        </w:tc>
        <w:tc>
          <w:tcPr>
            <w:tcW w:w="581" w:type="pct"/>
            <w:tcBorders>
              <w:top w:val="nil"/>
              <w:left w:val="nil"/>
              <w:bottom w:val="nil"/>
              <w:right w:val="single" w:sz="4" w:space="0" w:color="auto"/>
            </w:tcBorders>
            <w:shd w:val="clear" w:color="auto" w:fill="FFFFFF"/>
            <w:vAlign w:val="center"/>
            <w:hideMark/>
          </w:tcPr>
          <w:p w14:paraId="5D31D3A9"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11,663,735,924</w:t>
            </w:r>
          </w:p>
        </w:tc>
        <w:tc>
          <w:tcPr>
            <w:tcW w:w="581" w:type="pct"/>
            <w:tcBorders>
              <w:top w:val="nil"/>
              <w:left w:val="nil"/>
              <w:bottom w:val="nil"/>
              <w:right w:val="single" w:sz="4" w:space="0" w:color="auto"/>
            </w:tcBorders>
            <w:shd w:val="clear" w:color="auto" w:fill="FFFFFF"/>
            <w:vAlign w:val="center"/>
            <w:hideMark/>
          </w:tcPr>
          <w:p w14:paraId="5B91CF7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12,508,531,967</w:t>
            </w:r>
          </w:p>
        </w:tc>
        <w:tc>
          <w:tcPr>
            <w:tcW w:w="667" w:type="pct"/>
            <w:tcBorders>
              <w:top w:val="nil"/>
              <w:left w:val="nil"/>
              <w:bottom w:val="nil"/>
              <w:right w:val="single" w:sz="4" w:space="0" w:color="auto"/>
            </w:tcBorders>
            <w:shd w:val="clear" w:color="auto" w:fill="FFFFFF"/>
            <w:vAlign w:val="center"/>
            <w:hideMark/>
          </w:tcPr>
          <w:p w14:paraId="03CFDBC0" w14:textId="77777777" w:rsidR="00CB04CD" w:rsidRPr="00E84DBE" w:rsidRDefault="00CB04CD">
            <w:pPr>
              <w:spacing w:line="240" w:lineRule="auto"/>
              <w:jc w:val="right"/>
              <w:rPr>
                <w:rFonts w:eastAsia="Times New Roman" w:cs="Arial"/>
                <w:b/>
                <w:bCs/>
                <w:sz w:val="14"/>
                <w:szCs w:val="14"/>
                <w:lang w:eastAsia="es-MX"/>
              </w:rPr>
            </w:pPr>
            <w:r w:rsidRPr="00E84DBE">
              <w:rPr>
                <w:rFonts w:eastAsia="Times New Roman" w:cs="Arial"/>
                <w:b/>
                <w:bCs/>
                <w:sz w:val="14"/>
                <w:szCs w:val="14"/>
                <w:lang w:eastAsia="es-MX"/>
              </w:rPr>
              <w:t>13,251,440,454</w:t>
            </w:r>
          </w:p>
        </w:tc>
      </w:tr>
      <w:tr w:rsidR="00CB04CD" w:rsidRPr="00E84DBE" w14:paraId="24C90F1F" w14:textId="77777777" w:rsidTr="00CB04CD">
        <w:trPr>
          <w:trHeight w:val="227"/>
        </w:trPr>
        <w:tc>
          <w:tcPr>
            <w:tcW w:w="207" w:type="pct"/>
            <w:tcBorders>
              <w:top w:val="nil"/>
              <w:left w:val="single" w:sz="4" w:space="0" w:color="auto"/>
              <w:bottom w:val="single" w:sz="4" w:space="0" w:color="auto"/>
              <w:right w:val="nil"/>
            </w:tcBorders>
            <w:shd w:val="clear" w:color="auto" w:fill="FFFFFF"/>
            <w:noWrap/>
            <w:hideMark/>
          </w:tcPr>
          <w:p w14:paraId="783533CB"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46" w:type="pct"/>
            <w:tcBorders>
              <w:top w:val="nil"/>
              <w:left w:val="nil"/>
              <w:bottom w:val="single" w:sz="4" w:space="0" w:color="auto"/>
              <w:right w:val="nil"/>
            </w:tcBorders>
            <w:shd w:val="clear" w:color="auto" w:fill="FFFFFF"/>
            <w:noWrap/>
            <w:hideMark/>
          </w:tcPr>
          <w:p w14:paraId="2C10E011"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1077" w:type="pct"/>
            <w:tcBorders>
              <w:top w:val="nil"/>
              <w:left w:val="nil"/>
              <w:bottom w:val="single" w:sz="4" w:space="0" w:color="auto"/>
              <w:right w:val="single" w:sz="4" w:space="0" w:color="auto"/>
            </w:tcBorders>
            <w:shd w:val="clear" w:color="auto" w:fill="FFFFFF"/>
            <w:hideMark/>
          </w:tcPr>
          <w:p w14:paraId="1E70C69E"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single" w:sz="4" w:space="0" w:color="auto"/>
              <w:bottom w:val="single" w:sz="4" w:space="0" w:color="auto"/>
              <w:right w:val="single" w:sz="4" w:space="0" w:color="auto"/>
            </w:tcBorders>
            <w:shd w:val="clear" w:color="auto" w:fill="FFFFFF"/>
            <w:hideMark/>
          </w:tcPr>
          <w:p w14:paraId="67805817"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41C04924"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08C2BB4E"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31984EEB"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581" w:type="pct"/>
            <w:tcBorders>
              <w:top w:val="nil"/>
              <w:left w:val="nil"/>
              <w:bottom w:val="single" w:sz="4" w:space="0" w:color="auto"/>
              <w:right w:val="single" w:sz="4" w:space="0" w:color="auto"/>
            </w:tcBorders>
            <w:shd w:val="clear" w:color="auto" w:fill="FFFFFF"/>
            <w:hideMark/>
          </w:tcPr>
          <w:p w14:paraId="3B184DF6"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c>
          <w:tcPr>
            <w:tcW w:w="667" w:type="pct"/>
            <w:tcBorders>
              <w:top w:val="nil"/>
              <w:left w:val="nil"/>
              <w:bottom w:val="single" w:sz="4" w:space="0" w:color="auto"/>
              <w:right w:val="single" w:sz="4" w:space="0" w:color="auto"/>
            </w:tcBorders>
            <w:shd w:val="clear" w:color="auto" w:fill="FFFFFF"/>
            <w:hideMark/>
          </w:tcPr>
          <w:p w14:paraId="2E739FE0" w14:textId="77777777" w:rsidR="00CB04CD" w:rsidRPr="00E84DBE"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 </w:t>
            </w:r>
          </w:p>
        </w:tc>
      </w:tr>
      <w:tr w:rsidR="00CB04CD" w14:paraId="08CBC870" w14:textId="77777777" w:rsidTr="00CB04CD">
        <w:trPr>
          <w:trHeight w:val="227"/>
        </w:trPr>
        <w:tc>
          <w:tcPr>
            <w:tcW w:w="5000" w:type="pct"/>
            <w:gridSpan w:val="9"/>
            <w:shd w:val="clear" w:color="auto" w:fill="FFFFFF"/>
            <w:noWrap/>
            <w:hideMark/>
          </w:tcPr>
          <w:p w14:paraId="5055DB52" w14:textId="77777777" w:rsidR="00CB04CD" w:rsidRPr="003F0AEC" w:rsidRDefault="00CB04CD">
            <w:pPr>
              <w:spacing w:line="240" w:lineRule="auto"/>
              <w:rPr>
                <w:rFonts w:eastAsia="Times New Roman" w:cs="Arial"/>
                <w:color w:val="000000"/>
                <w:sz w:val="14"/>
                <w:szCs w:val="14"/>
                <w:lang w:eastAsia="es-MX"/>
              </w:rPr>
            </w:pPr>
            <w:r w:rsidRPr="00E84DBE">
              <w:rPr>
                <w:rFonts w:eastAsia="Times New Roman" w:cs="Arial"/>
                <w:color w:val="000000"/>
                <w:sz w:val="14"/>
                <w:szCs w:val="14"/>
                <w:lang w:eastAsia="es-MX"/>
              </w:rPr>
              <w:t>*Incluye Pasivos que se generen como resultado de erogaciones que se devenguen en el ejercicio fiscal pero que queden pendiente de liquidar al cierre del mismo.</w:t>
            </w:r>
          </w:p>
        </w:tc>
      </w:tr>
    </w:tbl>
    <w:p w14:paraId="2F63C366" w14:textId="77777777" w:rsidR="001077E0" w:rsidRPr="00F6630D" w:rsidRDefault="001077E0" w:rsidP="00F6630D">
      <w:pPr>
        <w:jc w:val="center"/>
        <w:rPr>
          <w:b/>
          <w:bCs/>
        </w:rPr>
      </w:pPr>
    </w:p>
    <w:sectPr w:rsidR="001077E0" w:rsidRPr="00F6630D" w:rsidSect="00073C52">
      <w:footerReference w:type="default" r:id="rId10"/>
      <w:pgSz w:w="12240" w:h="15840" w:code="1"/>
      <w:pgMar w:top="1701" w:right="1701" w:bottom="1985" w:left="1701" w:header="851" w:footer="15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F6C9" w14:textId="77777777" w:rsidR="00544D03" w:rsidRDefault="00544D03" w:rsidP="00074AD8">
      <w:r>
        <w:separator/>
      </w:r>
    </w:p>
  </w:endnote>
  <w:endnote w:type="continuationSeparator" w:id="0">
    <w:p w14:paraId="27D2E164" w14:textId="77777777" w:rsidR="00544D03" w:rsidRDefault="00544D03" w:rsidP="00074AD8">
      <w:r>
        <w:continuationSeparator/>
      </w:r>
    </w:p>
  </w:endnote>
  <w:endnote w:type="continuationNotice" w:id="1">
    <w:p w14:paraId="6608F3CE" w14:textId="77777777" w:rsidR="00544D03" w:rsidRDefault="00544D03" w:rsidP="00074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88410"/>
      <w:docPartObj>
        <w:docPartGallery w:val="Page Numbers (Bottom of Page)"/>
        <w:docPartUnique/>
      </w:docPartObj>
    </w:sdtPr>
    <w:sdtEndPr>
      <w:rPr>
        <w:sz w:val="16"/>
        <w:szCs w:val="16"/>
      </w:rPr>
    </w:sdtEndPr>
    <w:sdtContent>
      <w:p w14:paraId="30E35733" w14:textId="140DFFCD" w:rsidR="00650F9E" w:rsidRPr="00D26577" w:rsidRDefault="00650F9E" w:rsidP="00650F9E">
        <w:pPr>
          <w:pStyle w:val="Piedepgina"/>
          <w:jc w:val="right"/>
          <w:rPr>
            <w:sz w:val="16"/>
            <w:szCs w:val="16"/>
          </w:rPr>
        </w:pPr>
        <w:r w:rsidRPr="00D26577">
          <w:rPr>
            <w:sz w:val="16"/>
            <w:szCs w:val="16"/>
          </w:rPr>
          <w:fldChar w:fldCharType="begin"/>
        </w:r>
        <w:r w:rsidRPr="00D26577">
          <w:rPr>
            <w:sz w:val="16"/>
            <w:szCs w:val="16"/>
          </w:rPr>
          <w:instrText>PAGE   \* MERGEFORMAT</w:instrText>
        </w:r>
        <w:r w:rsidRPr="00D26577">
          <w:rPr>
            <w:sz w:val="16"/>
            <w:szCs w:val="16"/>
          </w:rPr>
          <w:fldChar w:fldCharType="separate"/>
        </w:r>
        <w:r w:rsidR="00073C52" w:rsidRPr="00073C52">
          <w:rPr>
            <w:noProof/>
            <w:sz w:val="16"/>
            <w:szCs w:val="16"/>
            <w:lang w:val="es-ES"/>
          </w:rPr>
          <w:t>40</w:t>
        </w:r>
        <w:r w:rsidRPr="00D26577">
          <w:rPr>
            <w:sz w:val="16"/>
            <w:szCs w:val="16"/>
          </w:rPr>
          <w:fldChar w:fldCharType="end"/>
        </w:r>
      </w:p>
    </w:sdtContent>
  </w:sdt>
  <w:p w14:paraId="1C950B48" w14:textId="77777777" w:rsidR="00650F9E" w:rsidRPr="00D26577" w:rsidRDefault="00650F9E" w:rsidP="00074AD8">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B72B" w14:textId="7AB7D400" w:rsidR="00650F9E" w:rsidRDefault="00650F9E" w:rsidP="00074AD8">
    <w:pPr>
      <w:pStyle w:val="Piedepgina"/>
    </w:pPr>
  </w:p>
  <w:p w14:paraId="45793D12" w14:textId="77777777" w:rsidR="00650F9E" w:rsidRDefault="00650F9E" w:rsidP="00074A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34159"/>
      <w:docPartObj>
        <w:docPartGallery w:val="Page Numbers (Bottom of Page)"/>
        <w:docPartUnique/>
      </w:docPartObj>
    </w:sdtPr>
    <w:sdtEndPr>
      <w:rPr>
        <w:sz w:val="16"/>
        <w:szCs w:val="16"/>
      </w:rPr>
    </w:sdtEndPr>
    <w:sdtContent>
      <w:p w14:paraId="440A2263" w14:textId="5309CF1D" w:rsidR="00073C52" w:rsidRPr="00073C52" w:rsidRDefault="00073C52">
        <w:pPr>
          <w:pStyle w:val="Piedepgina"/>
          <w:jc w:val="right"/>
          <w:rPr>
            <w:sz w:val="16"/>
            <w:szCs w:val="16"/>
          </w:rPr>
        </w:pPr>
        <w:r w:rsidRPr="00073C52">
          <w:rPr>
            <w:sz w:val="16"/>
            <w:szCs w:val="16"/>
          </w:rPr>
          <w:fldChar w:fldCharType="begin"/>
        </w:r>
        <w:r w:rsidRPr="00073C52">
          <w:rPr>
            <w:sz w:val="16"/>
            <w:szCs w:val="16"/>
          </w:rPr>
          <w:instrText>PAGE   \* MERGEFORMAT</w:instrText>
        </w:r>
        <w:r w:rsidRPr="00073C52">
          <w:rPr>
            <w:sz w:val="16"/>
            <w:szCs w:val="16"/>
          </w:rPr>
          <w:fldChar w:fldCharType="separate"/>
        </w:r>
        <w:r w:rsidRPr="00073C52">
          <w:rPr>
            <w:noProof/>
            <w:sz w:val="16"/>
            <w:szCs w:val="16"/>
            <w:lang w:val="es-ES"/>
          </w:rPr>
          <w:t>2</w:t>
        </w:r>
        <w:r w:rsidRPr="00073C52">
          <w:rPr>
            <w:sz w:val="16"/>
            <w:szCs w:val="16"/>
          </w:rPr>
          <w:fldChar w:fldCharType="end"/>
        </w:r>
      </w:p>
    </w:sdtContent>
  </w:sdt>
  <w:p w14:paraId="11D689E1" w14:textId="77777777" w:rsidR="0067695F" w:rsidRPr="00D26577" w:rsidRDefault="0067695F" w:rsidP="00074AD8">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BCE9" w14:textId="77777777" w:rsidR="00544D03" w:rsidRDefault="00544D03" w:rsidP="00074AD8">
      <w:r>
        <w:separator/>
      </w:r>
    </w:p>
  </w:footnote>
  <w:footnote w:type="continuationSeparator" w:id="0">
    <w:p w14:paraId="1F2C3287" w14:textId="77777777" w:rsidR="00544D03" w:rsidRDefault="00544D03" w:rsidP="00074AD8">
      <w:r>
        <w:continuationSeparator/>
      </w:r>
    </w:p>
  </w:footnote>
  <w:footnote w:type="continuationNotice" w:id="1">
    <w:p w14:paraId="4284126D" w14:textId="77777777" w:rsidR="00544D03" w:rsidRDefault="00544D03" w:rsidP="00074AD8"/>
  </w:footnote>
  <w:footnote w:id="2">
    <w:p w14:paraId="1AF36E9F" w14:textId="2F2DD83D" w:rsidR="00650F9E" w:rsidRPr="00B45BEC" w:rsidRDefault="00650F9E">
      <w:pPr>
        <w:pStyle w:val="Textonotapie"/>
      </w:pPr>
      <w:r w:rsidRPr="00B45BEC">
        <w:rPr>
          <w:rStyle w:val="Refdenotaalpie"/>
          <w:sz w:val="16"/>
          <w:szCs w:val="16"/>
        </w:rPr>
        <w:footnoteRef/>
      </w:r>
      <w:r w:rsidRPr="00B45BEC">
        <w:rPr>
          <w:sz w:val="16"/>
          <w:szCs w:val="16"/>
        </w:rPr>
        <w:t xml:space="preserve"> Panel de control de la enfermedad por coronavirus de la OMS Organización Mundial de la Salud, 2022. Disponible en línea: https://covid19.who.int/ (</w:t>
      </w:r>
      <w:r>
        <w:rPr>
          <w:sz w:val="16"/>
          <w:szCs w:val="16"/>
        </w:rPr>
        <w:t>consulta</w:t>
      </w:r>
      <w:r w:rsidRPr="00B45BEC">
        <w:rPr>
          <w:sz w:val="16"/>
          <w:szCs w:val="16"/>
        </w:rPr>
        <w:t>: [1</w:t>
      </w:r>
      <w:r>
        <w:rPr>
          <w:sz w:val="16"/>
          <w:szCs w:val="16"/>
        </w:rPr>
        <w:t>1</w:t>
      </w:r>
      <w:r w:rsidRPr="00B45BEC">
        <w:rPr>
          <w:sz w:val="16"/>
          <w:szCs w:val="16"/>
        </w:rPr>
        <w:t>/</w:t>
      </w:r>
      <w:r>
        <w:rPr>
          <w:sz w:val="16"/>
          <w:szCs w:val="16"/>
        </w:rPr>
        <w:t>noviemb</w:t>
      </w:r>
      <w:r w:rsidRPr="00B45BEC">
        <w:rPr>
          <w:sz w:val="16"/>
          <w:szCs w:val="16"/>
        </w:rPr>
        <w:t>re/2022]</w:t>
      </w:r>
      <w:r>
        <w:rPr>
          <w:sz w:val="16"/>
          <w:szCs w:val="16"/>
        </w:rPr>
        <w:t>)</w:t>
      </w:r>
      <w:r w:rsidRPr="00B45BEC">
        <w:rPr>
          <w:sz w:val="16"/>
          <w:szCs w:val="16"/>
        </w:rPr>
        <w:t>.</w:t>
      </w:r>
    </w:p>
  </w:footnote>
  <w:footnote w:id="3">
    <w:p w14:paraId="1E3A0CF1" w14:textId="2E253A03" w:rsidR="00650F9E" w:rsidRPr="00DC4821" w:rsidRDefault="00650F9E" w:rsidP="003856F6">
      <w:pPr>
        <w:pStyle w:val="Textonotapie"/>
        <w:rPr>
          <w:sz w:val="16"/>
          <w:szCs w:val="16"/>
        </w:rPr>
      </w:pPr>
      <w:r>
        <w:rPr>
          <w:rStyle w:val="Refdenotaalpie"/>
        </w:rPr>
        <w:footnoteRef/>
      </w:r>
      <w:r>
        <w:t xml:space="preserve"> </w:t>
      </w:r>
      <w:r w:rsidRPr="00DC4821">
        <w:rPr>
          <w:sz w:val="16"/>
          <w:szCs w:val="16"/>
        </w:rPr>
        <w:t>Organización para la Cooperación y el Desarrollo Económico</w:t>
      </w:r>
      <w:r>
        <w:rPr>
          <w:sz w:val="16"/>
          <w:szCs w:val="16"/>
        </w:rPr>
        <w:t xml:space="preserve">s. </w:t>
      </w:r>
      <w:r w:rsidRPr="00C55463">
        <w:rPr>
          <w:sz w:val="16"/>
          <w:szCs w:val="16"/>
        </w:rPr>
        <w:t>https://data.oecd.org/price/inflation-cpi.htm</w:t>
      </w:r>
      <w:r w:rsidRPr="00DC4821">
        <w:rPr>
          <w:sz w:val="16"/>
          <w:szCs w:val="16"/>
        </w:rPr>
        <w:t xml:space="preserve"> (consulta: [</w:t>
      </w:r>
      <w:r>
        <w:rPr>
          <w:sz w:val="16"/>
          <w:szCs w:val="16"/>
        </w:rPr>
        <w:t>11</w:t>
      </w:r>
      <w:r w:rsidRPr="00DC4821">
        <w:rPr>
          <w:sz w:val="16"/>
          <w:szCs w:val="16"/>
        </w:rPr>
        <w:t>/</w:t>
      </w:r>
      <w:r>
        <w:rPr>
          <w:sz w:val="16"/>
          <w:szCs w:val="16"/>
        </w:rPr>
        <w:t>noviembre</w:t>
      </w:r>
      <w:r w:rsidRPr="00DC4821">
        <w:rPr>
          <w:sz w:val="16"/>
          <w:szCs w:val="16"/>
        </w:rPr>
        <w:t>/2022]</w:t>
      </w:r>
      <w:r>
        <w:rPr>
          <w:sz w:val="16"/>
          <w:szCs w:val="16"/>
        </w:rPr>
        <w:t>)</w:t>
      </w:r>
      <w:r w:rsidRPr="00DC4821">
        <w:rPr>
          <w:sz w:val="16"/>
          <w:szCs w:val="16"/>
        </w:rPr>
        <w:t>.</w:t>
      </w:r>
    </w:p>
  </w:footnote>
  <w:footnote w:id="4">
    <w:p w14:paraId="7A9CCD4B" w14:textId="77777777" w:rsidR="00650F9E" w:rsidRDefault="00650F9E" w:rsidP="0095122A">
      <w:pPr>
        <w:pStyle w:val="Textonotapie"/>
        <w:tabs>
          <w:tab w:val="left" w:pos="993"/>
        </w:tabs>
      </w:pPr>
      <w:r>
        <w:rPr>
          <w:rStyle w:val="Refdenotaalpie"/>
        </w:rPr>
        <w:footnoteRef/>
      </w:r>
      <w:r>
        <w:t xml:space="preserve"> </w:t>
      </w:r>
      <w:r w:rsidRPr="00B4571D">
        <w:rPr>
          <w:sz w:val="16"/>
          <w:szCs w:val="16"/>
        </w:rPr>
        <w:t>Cálculo a parti</w:t>
      </w:r>
      <w:r>
        <w:rPr>
          <w:sz w:val="16"/>
          <w:szCs w:val="16"/>
        </w:rPr>
        <w:t>r</w:t>
      </w:r>
      <w:r w:rsidRPr="00B4571D">
        <w:rPr>
          <w:sz w:val="16"/>
          <w:szCs w:val="16"/>
        </w:rPr>
        <w:t xml:space="preserve"> de la información del U.S. Bureau of Economic Analysis (BEA).</w:t>
      </w:r>
      <w:r>
        <w:rPr>
          <w:sz w:val="16"/>
          <w:szCs w:val="16"/>
        </w:rPr>
        <w:t xml:space="preserve"> </w:t>
      </w:r>
      <w:r w:rsidRPr="00B4571D">
        <w:rPr>
          <w:sz w:val="16"/>
          <w:szCs w:val="16"/>
        </w:rPr>
        <w:t>https://apps.bea.gov/iTable/iTable.cfm?reqid=19&amp;step=2#reqid=19&amp;step=2&amp;isuri=1&amp;1921=survey.</w:t>
      </w:r>
    </w:p>
  </w:footnote>
  <w:footnote w:id="5">
    <w:p w14:paraId="16BE8D52" w14:textId="22788962" w:rsidR="00650F9E" w:rsidRPr="00F14688" w:rsidRDefault="00650F9E">
      <w:pPr>
        <w:pStyle w:val="Textonotapie"/>
        <w:rPr>
          <w:sz w:val="16"/>
          <w:szCs w:val="16"/>
        </w:rPr>
      </w:pPr>
      <w:r w:rsidRPr="00F14688">
        <w:rPr>
          <w:rStyle w:val="Refdenotaalpie"/>
          <w:sz w:val="16"/>
          <w:szCs w:val="16"/>
        </w:rPr>
        <w:footnoteRef/>
      </w:r>
      <w:r w:rsidRPr="00F14688">
        <w:rPr>
          <w:sz w:val="16"/>
          <w:szCs w:val="16"/>
        </w:rPr>
        <w:t xml:space="preserve"> La Canasta de Consumo Mínimo da seguimiento a las variaciones de los precios de 176 productos definidos a partir del contenido de las canastas alimentarias y no alimentarias con las que el CONEVAL define las líneas de pobreza.</w:t>
      </w:r>
    </w:p>
  </w:footnote>
  <w:footnote w:id="6">
    <w:p w14:paraId="7FBADC71" w14:textId="73D7DB82" w:rsidR="00650F9E" w:rsidRPr="0068742D" w:rsidRDefault="00650F9E" w:rsidP="008C43B4">
      <w:pPr>
        <w:pStyle w:val="Textonotapie"/>
        <w:rPr>
          <w:sz w:val="16"/>
          <w:szCs w:val="16"/>
        </w:rPr>
      </w:pPr>
      <w:r w:rsidRPr="0068742D">
        <w:rPr>
          <w:rStyle w:val="Refdenotaalpie"/>
          <w:sz w:val="16"/>
          <w:szCs w:val="16"/>
        </w:rPr>
        <w:footnoteRef/>
      </w:r>
      <w:r w:rsidRPr="0068742D">
        <w:rPr>
          <w:sz w:val="16"/>
          <w:szCs w:val="16"/>
        </w:rPr>
        <w:t xml:space="preserve"> Banco de México</w:t>
      </w:r>
      <w:r>
        <w:rPr>
          <w:sz w:val="16"/>
          <w:szCs w:val="16"/>
        </w:rPr>
        <w:t>.</w:t>
      </w:r>
      <w:r w:rsidRPr="0068742D">
        <w:rPr>
          <w:sz w:val="16"/>
          <w:szCs w:val="16"/>
        </w:rPr>
        <w:t xml:space="preserve"> </w:t>
      </w:r>
      <w:r>
        <w:rPr>
          <w:sz w:val="16"/>
          <w:szCs w:val="16"/>
        </w:rPr>
        <w:t>“</w:t>
      </w:r>
      <w:r w:rsidRPr="0068742D">
        <w:rPr>
          <w:sz w:val="16"/>
          <w:szCs w:val="16"/>
        </w:rPr>
        <w:t>Efectos de la Inflación en la pobreza</w:t>
      </w:r>
      <w:r>
        <w:rPr>
          <w:sz w:val="16"/>
          <w:szCs w:val="16"/>
        </w:rPr>
        <w:t>”</w:t>
      </w:r>
      <w:r w:rsidRPr="0068742D">
        <w:rPr>
          <w:sz w:val="16"/>
          <w:szCs w:val="16"/>
        </w:rPr>
        <w:t xml:space="preserve">, Seminario de pobreza, monitoreo y evaluación de </w:t>
      </w:r>
      <w:r>
        <w:rPr>
          <w:sz w:val="16"/>
          <w:szCs w:val="16"/>
        </w:rPr>
        <w:t>E</w:t>
      </w:r>
      <w:r w:rsidRPr="0068742D">
        <w:rPr>
          <w:sz w:val="16"/>
          <w:szCs w:val="16"/>
        </w:rPr>
        <w:t xml:space="preserve">ntidades </w:t>
      </w:r>
      <w:r>
        <w:rPr>
          <w:sz w:val="16"/>
          <w:szCs w:val="16"/>
        </w:rPr>
        <w:t>F</w:t>
      </w:r>
      <w:r w:rsidRPr="0068742D">
        <w:rPr>
          <w:sz w:val="16"/>
          <w:szCs w:val="16"/>
        </w:rPr>
        <w:t xml:space="preserve">ederativas y </w:t>
      </w:r>
      <w:r>
        <w:rPr>
          <w:sz w:val="16"/>
          <w:szCs w:val="16"/>
        </w:rPr>
        <w:t>M</w:t>
      </w:r>
      <w:r w:rsidRPr="0068742D">
        <w:rPr>
          <w:sz w:val="16"/>
          <w:szCs w:val="16"/>
        </w:rPr>
        <w:t xml:space="preserve">unicipios, 2022, CONEVAL. 4 de </w:t>
      </w:r>
      <w:r>
        <w:rPr>
          <w:sz w:val="16"/>
          <w:szCs w:val="16"/>
        </w:rPr>
        <w:t>o</w:t>
      </w:r>
      <w:r w:rsidRPr="0068742D">
        <w:rPr>
          <w:sz w:val="16"/>
          <w:szCs w:val="16"/>
        </w:rPr>
        <w:t>ctubre de 2022.</w:t>
      </w:r>
    </w:p>
  </w:footnote>
  <w:footnote w:id="7">
    <w:p w14:paraId="3ED5B936" w14:textId="50631B28" w:rsidR="00650F9E" w:rsidRPr="00C83DB6" w:rsidRDefault="00650F9E">
      <w:pPr>
        <w:pStyle w:val="Textonotapie"/>
        <w:rPr>
          <w:sz w:val="16"/>
          <w:szCs w:val="16"/>
        </w:rPr>
      </w:pPr>
      <w:r w:rsidRPr="00C83DB6">
        <w:rPr>
          <w:rStyle w:val="Refdenotaalpie"/>
          <w:sz w:val="16"/>
          <w:szCs w:val="16"/>
        </w:rPr>
        <w:footnoteRef/>
      </w:r>
      <w:r w:rsidRPr="00C83DB6">
        <w:rPr>
          <w:sz w:val="16"/>
          <w:szCs w:val="16"/>
        </w:rPr>
        <w:t xml:space="preserve"> Banco de México</w:t>
      </w:r>
      <w:r>
        <w:rPr>
          <w:sz w:val="16"/>
          <w:szCs w:val="16"/>
        </w:rPr>
        <w:t>. Comunicado de prensa sobre política monetaria del 29 de septiembre de 2022</w:t>
      </w:r>
      <w:r w:rsidRPr="00C83DB6">
        <w:rPr>
          <w:sz w:val="16"/>
          <w:szCs w:val="16"/>
        </w:rPr>
        <w:t>.</w:t>
      </w:r>
    </w:p>
  </w:footnote>
  <w:footnote w:id="8">
    <w:p w14:paraId="71DCA0AE" w14:textId="19DCC918" w:rsidR="00650F9E" w:rsidRPr="000960B3" w:rsidRDefault="00650F9E">
      <w:pPr>
        <w:pStyle w:val="Textonotapie"/>
        <w:rPr>
          <w:sz w:val="16"/>
          <w:szCs w:val="16"/>
        </w:rPr>
      </w:pPr>
      <w:r w:rsidRPr="000960B3">
        <w:rPr>
          <w:rStyle w:val="Refdenotaalpie"/>
          <w:sz w:val="16"/>
          <w:szCs w:val="16"/>
        </w:rPr>
        <w:footnoteRef/>
      </w:r>
      <w:r w:rsidRPr="000960B3">
        <w:rPr>
          <w:sz w:val="16"/>
          <w:szCs w:val="16"/>
        </w:rPr>
        <w:t xml:space="preserve"> De acuerdo con cifras de la Encuesta Nacional de Ocupación y Empleo (ENOE) al segundo trimestre de 2022.</w:t>
      </w:r>
    </w:p>
  </w:footnote>
  <w:footnote w:id="9">
    <w:p w14:paraId="343ACFD2" w14:textId="3A7CF0A3" w:rsidR="00650F9E" w:rsidRDefault="00650F9E">
      <w:pPr>
        <w:pStyle w:val="Textonotapie"/>
      </w:pPr>
      <w:r w:rsidRPr="000960B3">
        <w:rPr>
          <w:rStyle w:val="Refdenotaalpie"/>
          <w:sz w:val="16"/>
          <w:szCs w:val="16"/>
        </w:rPr>
        <w:footnoteRef/>
      </w:r>
      <w:r w:rsidRPr="000960B3">
        <w:rPr>
          <w:sz w:val="16"/>
          <w:szCs w:val="16"/>
        </w:rPr>
        <w:t xml:space="preserve"> Incluye a mujeres solteras, viudas y divorciadas.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6E2"/>
    <w:multiLevelType w:val="hybridMultilevel"/>
    <w:tmpl w:val="79FC4FA2"/>
    <w:lvl w:ilvl="0" w:tplc="4FA6EBF6">
      <w:numFmt w:val="decimal"/>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 w15:restartNumberingAfterBreak="0">
    <w:nsid w:val="013633EC"/>
    <w:multiLevelType w:val="hybridMultilevel"/>
    <w:tmpl w:val="5DF04D72"/>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E1576"/>
    <w:multiLevelType w:val="hybridMultilevel"/>
    <w:tmpl w:val="214CBE84"/>
    <w:lvl w:ilvl="0" w:tplc="8EBC67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1F6DE0"/>
    <w:multiLevelType w:val="hybridMultilevel"/>
    <w:tmpl w:val="CB006678"/>
    <w:lvl w:ilvl="0" w:tplc="D3C6EE8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AA0C41"/>
    <w:multiLevelType w:val="hybridMultilevel"/>
    <w:tmpl w:val="16E83084"/>
    <w:lvl w:ilvl="0" w:tplc="89504C6A">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6F4BF9"/>
    <w:multiLevelType w:val="hybridMultilevel"/>
    <w:tmpl w:val="E5A22170"/>
    <w:lvl w:ilvl="0" w:tplc="C71E6B1C">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809E6"/>
    <w:multiLevelType w:val="hybridMultilevel"/>
    <w:tmpl w:val="E59E902E"/>
    <w:lvl w:ilvl="0" w:tplc="EA58B18E">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045A4B"/>
    <w:multiLevelType w:val="hybridMultilevel"/>
    <w:tmpl w:val="41B65E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016C79"/>
    <w:multiLevelType w:val="hybridMultilevel"/>
    <w:tmpl w:val="57606F06"/>
    <w:lvl w:ilvl="0" w:tplc="0C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227714"/>
    <w:multiLevelType w:val="hybridMultilevel"/>
    <w:tmpl w:val="D4D6B216"/>
    <w:lvl w:ilvl="0" w:tplc="656A30FE">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AF0365"/>
    <w:multiLevelType w:val="hybridMultilevel"/>
    <w:tmpl w:val="D94CBDA0"/>
    <w:lvl w:ilvl="0" w:tplc="53F42FE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0B37"/>
    <w:multiLevelType w:val="hybridMultilevel"/>
    <w:tmpl w:val="DE8414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EE25B8"/>
    <w:multiLevelType w:val="hybridMultilevel"/>
    <w:tmpl w:val="5AACCEAC"/>
    <w:lvl w:ilvl="0" w:tplc="7D685F6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CD6086"/>
    <w:multiLevelType w:val="hybridMultilevel"/>
    <w:tmpl w:val="A0B82284"/>
    <w:lvl w:ilvl="0" w:tplc="0C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1C56362B"/>
    <w:multiLevelType w:val="hybridMultilevel"/>
    <w:tmpl w:val="CE3C6A56"/>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C83196"/>
    <w:multiLevelType w:val="hybridMultilevel"/>
    <w:tmpl w:val="1EFE7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8426FC"/>
    <w:multiLevelType w:val="hybridMultilevel"/>
    <w:tmpl w:val="76669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BF1E00"/>
    <w:multiLevelType w:val="hybridMultilevel"/>
    <w:tmpl w:val="57606F0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CB4591"/>
    <w:multiLevelType w:val="hybridMultilevel"/>
    <w:tmpl w:val="39F2580E"/>
    <w:lvl w:ilvl="0" w:tplc="E3EC986E">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7E3252"/>
    <w:multiLevelType w:val="hybridMultilevel"/>
    <w:tmpl w:val="57606F0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FE3070"/>
    <w:multiLevelType w:val="hybridMultilevel"/>
    <w:tmpl w:val="0F826F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AE7F93"/>
    <w:multiLevelType w:val="hybridMultilevel"/>
    <w:tmpl w:val="54186C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4E66D2"/>
    <w:multiLevelType w:val="hybridMultilevel"/>
    <w:tmpl w:val="3A9E198A"/>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EC242B"/>
    <w:multiLevelType w:val="hybridMultilevel"/>
    <w:tmpl w:val="A1B419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015B65"/>
    <w:multiLevelType w:val="hybridMultilevel"/>
    <w:tmpl w:val="09D82290"/>
    <w:lvl w:ilvl="0" w:tplc="5422069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3819A8"/>
    <w:multiLevelType w:val="hybridMultilevel"/>
    <w:tmpl w:val="2546781E"/>
    <w:lvl w:ilvl="0" w:tplc="7B60B3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A1440"/>
    <w:multiLevelType w:val="hybridMultilevel"/>
    <w:tmpl w:val="CE3C6A56"/>
    <w:lvl w:ilvl="0" w:tplc="4156FA8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3B041B"/>
    <w:multiLevelType w:val="hybridMultilevel"/>
    <w:tmpl w:val="8026D77C"/>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F752C6"/>
    <w:multiLevelType w:val="hybridMultilevel"/>
    <w:tmpl w:val="8A4053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EE61C8"/>
    <w:multiLevelType w:val="hybridMultilevel"/>
    <w:tmpl w:val="09EE38BE"/>
    <w:lvl w:ilvl="0" w:tplc="B534FD9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E73A7D"/>
    <w:multiLevelType w:val="hybridMultilevel"/>
    <w:tmpl w:val="072C985A"/>
    <w:lvl w:ilvl="0" w:tplc="396A05F0">
      <w:start w:val="1"/>
      <w:numFmt w:val="lowerLetter"/>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5A10D6"/>
    <w:multiLevelType w:val="hybridMultilevel"/>
    <w:tmpl w:val="4D7CF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693249"/>
    <w:multiLevelType w:val="hybridMultilevel"/>
    <w:tmpl w:val="ACCA3BDC"/>
    <w:lvl w:ilvl="0" w:tplc="140EDBE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757E66"/>
    <w:multiLevelType w:val="hybridMultilevel"/>
    <w:tmpl w:val="820A52B2"/>
    <w:lvl w:ilvl="0" w:tplc="F2263AF4">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307A08"/>
    <w:multiLevelType w:val="hybridMultilevel"/>
    <w:tmpl w:val="2BDE5342"/>
    <w:lvl w:ilvl="0" w:tplc="5B924BC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7A4A6A"/>
    <w:multiLevelType w:val="hybridMultilevel"/>
    <w:tmpl w:val="FF982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940176"/>
    <w:multiLevelType w:val="hybridMultilevel"/>
    <w:tmpl w:val="E6AE6374"/>
    <w:lvl w:ilvl="0" w:tplc="F8B4B7A6">
      <w:start w:val="1"/>
      <w:numFmt w:val="upperRoman"/>
      <w:lvlText w:val="%1."/>
      <w:lvlJc w:val="righ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AC65BB1"/>
    <w:multiLevelType w:val="hybridMultilevel"/>
    <w:tmpl w:val="C4BC1802"/>
    <w:lvl w:ilvl="0" w:tplc="716217C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973603">
    <w:abstractNumId w:val="31"/>
  </w:num>
  <w:num w:numId="2" w16cid:durableId="1799645718">
    <w:abstractNumId w:val="11"/>
  </w:num>
  <w:num w:numId="3" w16cid:durableId="779686693">
    <w:abstractNumId w:val="25"/>
  </w:num>
  <w:num w:numId="4" w16cid:durableId="1564410189">
    <w:abstractNumId w:val="23"/>
  </w:num>
  <w:num w:numId="5" w16cid:durableId="811293237">
    <w:abstractNumId w:val="5"/>
  </w:num>
  <w:num w:numId="6" w16cid:durableId="401373149">
    <w:abstractNumId w:val="18"/>
  </w:num>
  <w:num w:numId="7" w16cid:durableId="1501578698">
    <w:abstractNumId w:val="29"/>
  </w:num>
  <w:num w:numId="8" w16cid:durableId="1403871128">
    <w:abstractNumId w:val="26"/>
  </w:num>
  <w:num w:numId="9" w16cid:durableId="1515608172">
    <w:abstractNumId w:val="34"/>
  </w:num>
  <w:num w:numId="10" w16cid:durableId="2121295018">
    <w:abstractNumId w:val="16"/>
  </w:num>
  <w:num w:numId="11" w16cid:durableId="40981849">
    <w:abstractNumId w:val="35"/>
  </w:num>
  <w:num w:numId="12" w16cid:durableId="1038165225">
    <w:abstractNumId w:val="0"/>
  </w:num>
  <w:num w:numId="13" w16cid:durableId="1788347785">
    <w:abstractNumId w:val="21"/>
  </w:num>
  <w:num w:numId="14" w16cid:durableId="111369705">
    <w:abstractNumId w:val="3"/>
  </w:num>
  <w:num w:numId="15" w16cid:durableId="693456810">
    <w:abstractNumId w:val="15"/>
  </w:num>
  <w:num w:numId="16" w16cid:durableId="1813670481">
    <w:abstractNumId w:val="30"/>
  </w:num>
  <w:num w:numId="17" w16cid:durableId="1010762240">
    <w:abstractNumId w:val="13"/>
  </w:num>
  <w:num w:numId="18" w16cid:durableId="1598058243">
    <w:abstractNumId w:val="8"/>
  </w:num>
  <w:num w:numId="19" w16cid:durableId="23138510">
    <w:abstractNumId w:val="17"/>
  </w:num>
  <w:num w:numId="20" w16cid:durableId="1481117688">
    <w:abstractNumId w:val="19"/>
  </w:num>
  <w:num w:numId="21" w16cid:durableId="1196037841">
    <w:abstractNumId w:val="36"/>
  </w:num>
  <w:num w:numId="22" w16cid:durableId="2055425079">
    <w:abstractNumId w:val="22"/>
  </w:num>
  <w:num w:numId="23" w16cid:durableId="1824855169">
    <w:abstractNumId w:val="37"/>
  </w:num>
  <w:num w:numId="24" w16cid:durableId="1457991152">
    <w:abstractNumId w:val="27"/>
  </w:num>
  <w:num w:numId="25" w16cid:durableId="420881791">
    <w:abstractNumId w:val="12"/>
  </w:num>
  <w:num w:numId="26" w16cid:durableId="1320578042">
    <w:abstractNumId w:val="9"/>
  </w:num>
  <w:num w:numId="27" w16cid:durableId="1606381490">
    <w:abstractNumId w:val="7"/>
  </w:num>
  <w:num w:numId="28" w16cid:durableId="1927884964">
    <w:abstractNumId w:val="28"/>
  </w:num>
  <w:num w:numId="29" w16cid:durableId="995836961">
    <w:abstractNumId w:val="24"/>
  </w:num>
  <w:num w:numId="30" w16cid:durableId="1518423564">
    <w:abstractNumId w:val="14"/>
  </w:num>
  <w:num w:numId="31" w16cid:durableId="112335885">
    <w:abstractNumId w:val="20"/>
  </w:num>
  <w:num w:numId="32" w16cid:durableId="1651208613">
    <w:abstractNumId w:val="33"/>
  </w:num>
  <w:num w:numId="33" w16cid:durableId="644120249">
    <w:abstractNumId w:val="4"/>
  </w:num>
  <w:num w:numId="34" w16cid:durableId="1057514544">
    <w:abstractNumId w:val="2"/>
  </w:num>
  <w:num w:numId="35" w16cid:durableId="322200175">
    <w:abstractNumId w:val="10"/>
  </w:num>
  <w:num w:numId="36" w16cid:durableId="640037526">
    <w:abstractNumId w:val="6"/>
  </w:num>
  <w:num w:numId="37" w16cid:durableId="1130975862">
    <w:abstractNumId w:val="23"/>
  </w:num>
  <w:num w:numId="38" w16cid:durableId="161940517">
    <w:abstractNumId w:val="32"/>
  </w:num>
  <w:num w:numId="39" w16cid:durableId="2033914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108"/>
    <w:rsid w:val="00000BC4"/>
    <w:rsid w:val="0000171D"/>
    <w:rsid w:val="0000328E"/>
    <w:rsid w:val="00003576"/>
    <w:rsid w:val="00003880"/>
    <w:rsid w:val="00006861"/>
    <w:rsid w:val="0001161F"/>
    <w:rsid w:val="00013C83"/>
    <w:rsid w:val="000162F2"/>
    <w:rsid w:val="0002080E"/>
    <w:rsid w:val="00022186"/>
    <w:rsid w:val="000222A9"/>
    <w:rsid w:val="00022CE8"/>
    <w:rsid w:val="00022D04"/>
    <w:rsid w:val="000235B5"/>
    <w:rsid w:val="00031DC2"/>
    <w:rsid w:val="00033875"/>
    <w:rsid w:val="00034FD6"/>
    <w:rsid w:val="000359B3"/>
    <w:rsid w:val="00036694"/>
    <w:rsid w:val="000376A4"/>
    <w:rsid w:val="000376C4"/>
    <w:rsid w:val="00041962"/>
    <w:rsid w:val="00041C8A"/>
    <w:rsid w:val="00046566"/>
    <w:rsid w:val="00047744"/>
    <w:rsid w:val="00050F88"/>
    <w:rsid w:val="000513EC"/>
    <w:rsid w:val="00054005"/>
    <w:rsid w:val="00056ABC"/>
    <w:rsid w:val="00056F76"/>
    <w:rsid w:val="00061590"/>
    <w:rsid w:val="000616AF"/>
    <w:rsid w:val="00063923"/>
    <w:rsid w:val="00063E36"/>
    <w:rsid w:val="0006550D"/>
    <w:rsid w:val="000658B8"/>
    <w:rsid w:val="00065AA6"/>
    <w:rsid w:val="00066CB5"/>
    <w:rsid w:val="0007109E"/>
    <w:rsid w:val="00071244"/>
    <w:rsid w:val="00072023"/>
    <w:rsid w:val="00072313"/>
    <w:rsid w:val="00073121"/>
    <w:rsid w:val="00073C52"/>
    <w:rsid w:val="000745CA"/>
    <w:rsid w:val="00074AD8"/>
    <w:rsid w:val="00077553"/>
    <w:rsid w:val="00077733"/>
    <w:rsid w:val="00077AAA"/>
    <w:rsid w:val="00080C43"/>
    <w:rsid w:val="00084AF9"/>
    <w:rsid w:val="00087468"/>
    <w:rsid w:val="00087A9E"/>
    <w:rsid w:val="00091A55"/>
    <w:rsid w:val="00093E22"/>
    <w:rsid w:val="000960B3"/>
    <w:rsid w:val="00096A1E"/>
    <w:rsid w:val="000A176D"/>
    <w:rsid w:val="000A1DD6"/>
    <w:rsid w:val="000A22A2"/>
    <w:rsid w:val="000A2864"/>
    <w:rsid w:val="000A66C0"/>
    <w:rsid w:val="000A7E08"/>
    <w:rsid w:val="000B0123"/>
    <w:rsid w:val="000B22A2"/>
    <w:rsid w:val="000B4D99"/>
    <w:rsid w:val="000B69EA"/>
    <w:rsid w:val="000B7E7E"/>
    <w:rsid w:val="000C07DC"/>
    <w:rsid w:val="000C18AE"/>
    <w:rsid w:val="000C27F9"/>
    <w:rsid w:val="000C453B"/>
    <w:rsid w:val="000C4FBE"/>
    <w:rsid w:val="000D1472"/>
    <w:rsid w:val="000D616D"/>
    <w:rsid w:val="000D6660"/>
    <w:rsid w:val="000E18F0"/>
    <w:rsid w:val="000E1BC7"/>
    <w:rsid w:val="000E254B"/>
    <w:rsid w:val="000E2E19"/>
    <w:rsid w:val="000E4AC7"/>
    <w:rsid w:val="000E5593"/>
    <w:rsid w:val="000E710E"/>
    <w:rsid w:val="000F1F7C"/>
    <w:rsid w:val="000F3FC9"/>
    <w:rsid w:val="000F6182"/>
    <w:rsid w:val="000F79F6"/>
    <w:rsid w:val="001002F7"/>
    <w:rsid w:val="00100CFF"/>
    <w:rsid w:val="001036F4"/>
    <w:rsid w:val="001041E4"/>
    <w:rsid w:val="001077E0"/>
    <w:rsid w:val="00110A6C"/>
    <w:rsid w:val="0011373A"/>
    <w:rsid w:val="00114052"/>
    <w:rsid w:val="00114CE8"/>
    <w:rsid w:val="00114DB3"/>
    <w:rsid w:val="00117026"/>
    <w:rsid w:val="00121463"/>
    <w:rsid w:val="001214BD"/>
    <w:rsid w:val="00122641"/>
    <w:rsid w:val="0012305D"/>
    <w:rsid w:val="00132E84"/>
    <w:rsid w:val="00133B13"/>
    <w:rsid w:val="00133DDB"/>
    <w:rsid w:val="0013692C"/>
    <w:rsid w:val="001373AC"/>
    <w:rsid w:val="00137F46"/>
    <w:rsid w:val="001422BB"/>
    <w:rsid w:val="00144AB0"/>
    <w:rsid w:val="00151D5E"/>
    <w:rsid w:val="0015253F"/>
    <w:rsid w:val="00152B92"/>
    <w:rsid w:val="00153AF3"/>
    <w:rsid w:val="00154A5C"/>
    <w:rsid w:val="00155E09"/>
    <w:rsid w:val="001578F2"/>
    <w:rsid w:val="00160A18"/>
    <w:rsid w:val="00161776"/>
    <w:rsid w:val="001631A3"/>
    <w:rsid w:val="00164B55"/>
    <w:rsid w:val="00166F54"/>
    <w:rsid w:val="001704B1"/>
    <w:rsid w:val="00170E58"/>
    <w:rsid w:val="0017289F"/>
    <w:rsid w:val="00172F49"/>
    <w:rsid w:val="001730B5"/>
    <w:rsid w:val="00174620"/>
    <w:rsid w:val="0017676A"/>
    <w:rsid w:val="00180893"/>
    <w:rsid w:val="001818B0"/>
    <w:rsid w:val="00182C16"/>
    <w:rsid w:val="00184694"/>
    <w:rsid w:val="00185C9B"/>
    <w:rsid w:val="001876F6"/>
    <w:rsid w:val="0019249B"/>
    <w:rsid w:val="0019291A"/>
    <w:rsid w:val="001950F2"/>
    <w:rsid w:val="00197EF2"/>
    <w:rsid w:val="001A0281"/>
    <w:rsid w:val="001A02C6"/>
    <w:rsid w:val="001A1EB3"/>
    <w:rsid w:val="001A3F85"/>
    <w:rsid w:val="001A495E"/>
    <w:rsid w:val="001A7147"/>
    <w:rsid w:val="001A7C10"/>
    <w:rsid w:val="001B21A7"/>
    <w:rsid w:val="001B2DF5"/>
    <w:rsid w:val="001B3BC9"/>
    <w:rsid w:val="001B6633"/>
    <w:rsid w:val="001B6A37"/>
    <w:rsid w:val="001C1312"/>
    <w:rsid w:val="001C1EC1"/>
    <w:rsid w:val="001C4020"/>
    <w:rsid w:val="001C5560"/>
    <w:rsid w:val="001C65F1"/>
    <w:rsid w:val="001C6E1B"/>
    <w:rsid w:val="001C7C0E"/>
    <w:rsid w:val="001D0A16"/>
    <w:rsid w:val="001D206C"/>
    <w:rsid w:val="001E0069"/>
    <w:rsid w:val="001E058E"/>
    <w:rsid w:val="001E3335"/>
    <w:rsid w:val="001E4AA2"/>
    <w:rsid w:val="001E6F61"/>
    <w:rsid w:val="001F08FD"/>
    <w:rsid w:val="001F0D6C"/>
    <w:rsid w:val="001F1E69"/>
    <w:rsid w:val="001F46B1"/>
    <w:rsid w:val="001F5251"/>
    <w:rsid w:val="001F61C6"/>
    <w:rsid w:val="001F773D"/>
    <w:rsid w:val="002001C7"/>
    <w:rsid w:val="00201229"/>
    <w:rsid w:val="002026E2"/>
    <w:rsid w:val="00202AA5"/>
    <w:rsid w:val="002048ED"/>
    <w:rsid w:val="00205707"/>
    <w:rsid w:val="00205F87"/>
    <w:rsid w:val="002119E6"/>
    <w:rsid w:val="00214D9A"/>
    <w:rsid w:val="002155FD"/>
    <w:rsid w:val="00215E21"/>
    <w:rsid w:val="00215EB4"/>
    <w:rsid w:val="00217065"/>
    <w:rsid w:val="00221401"/>
    <w:rsid w:val="00224014"/>
    <w:rsid w:val="00224B39"/>
    <w:rsid w:val="00225201"/>
    <w:rsid w:val="002261AD"/>
    <w:rsid w:val="00226719"/>
    <w:rsid w:val="00231A48"/>
    <w:rsid w:val="00233CB8"/>
    <w:rsid w:val="002344B5"/>
    <w:rsid w:val="0023567D"/>
    <w:rsid w:val="0023573D"/>
    <w:rsid w:val="00236F3E"/>
    <w:rsid w:val="00240315"/>
    <w:rsid w:val="002428F9"/>
    <w:rsid w:val="002438C6"/>
    <w:rsid w:val="00245A5C"/>
    <w:rsid w:val="00245B4B"/>
    <w:rsid w:val="00246B03"/>
    <w:rsid w:val="002500C5"/>
    <w:rsid w:val="00251D25"/>
    <w:rsid w:val="002529AF"/>
    <w:rsid w:val="002539E9"/>
    <w:rsid w:val="00261F1E"/>
    <w:rsid w:val="00266867"/>
    <w:rsid w:val="00273662"/>
    <w:rsid w:val="00273B5E"/>
    <w:rsid w:val="00274E11"/>
    <w:rsid w:val="00274F89"/>
    <w:rsid w:val="002755CF"/>
    <w:rsid w:val="002759C9"/>
    <w:rsid w:val="0027677E"/>
    <w:rsid w:val="00276F00"/>
    <w:rsid w:val="0027737E"/>
    <w:rsid w:val="002777E0"/>
    <w:rsid w:val="00277884"/>
    <w:rsid w:val="00281B80"/>
    <w:rsid w:val="00282081"/>
    <w:rsid w:val="00284B26"/>
    <w:rsid w:val="002945A6"/>
    <w:rsid w:val="002973AD"/>
    <w:rsid w:val="002977C8"/>
    <w:rsid w:val="002A0098"/>
    <w:rsid w:val="002A42FA"/>
    <w:rsid w:val="002A76F9"/>
    <w:rsid w:val="002B1134"/>
    <w:rsid w:val="002B1403"/>
    <w:rsid w:val="002B1A02"/>
    <w:rsid w:val="002B1DE9"/>
    <w:rsid w:val="002B2768"/>
    <w:rsid w:val="002B27D9"/>
    <w:rsid w:val="002B729B"/>
    <w:rsid w:val="002C2765"/>
    <w:rsid w:val="002C29F0"/>
    <w:rsid w:val="002C51B9"/>
    <w:rsid w:val="002C6FD3"/>
    <w:rsid w:val="002D00E7"/>
    <w:rsid w:val="002D1B81"/>
    <w:rsid w:val="002D2066"/>
    <w:rsid w:val="002D2ECB"/>
    <w:rsid w:val="002D3E2C"/>
    <w:rsid w:val="002D48EB"/>
    <w:rsid w:val="002D4A9B"/>
    <w:rsid w:val="002D4F7D"/>
    <w:rsid w:val="002D76B9"/>
    <w:rsid w:val="002E153B"/>
    <w:rsid w:val="002E1F57"/>
    <w:rsid w:val="002E3A31"/>
    <w:rsid w:val="002E3DF3"/>
    <w:rsid w:val="002E5F0D"/>
    <w:rsid w:val="002F05D6"/>
    <w:rsid w:val="002F4349"/>
    <w:rsid w:val="00301BC5"/>
    <w:rsid w:val="003045BF"/>
    <w:rsid w:val="00305D8E"/>
    <w:rsid w:val="00306A0D"/>
    <w:rsid w:val="003070B2"/>
    <w:rsid w:val="00311EB4"/>
    <w:rsid w:val="003124A7"/>
    <w:rsid w:val="0031342E"/>
    <w:rsid w:val="0031347F"/>
    <w:rsid w:val="00313CDC"/>
    <w:rsid w:val="00314A4C"/>
    <w:rsid w:val="00316E3D"/>
    <w:rsid w:val="00320D65"/>
    <w:rsid w:val="00321111"/>
    <w:rsid w:val="00322552"/>
    <w:rsid w:val="00325840"/>
    <w:rsid w:val="00325A27"/>
    <w:rsid w:val="00326BAC"/>
    <w:rsid w:val="00336F2C"/>
    <w:rsid w:val="003377CE"/>
    <w:rsid w:val="00337E96"/>
    <w:rsid w:val="00341384"/>
    <w:rsid w:val="00342292"/>
    <w:rsid w:val="003434E5"/>
    <w:rsid w:val="00350CB0"/>
    <w:rsid w:val="0036000F"/>
    <w:rsid w:val="003644DD"/>
    <w:rsid w:val="00366D85"/>
    <w:rsid w:val="0037426F"/>
    <w:rsid w:val="00374A71"/>
    <w:rsid w:val="00375244"/>
    <w:rsid w:val="00377967"/>
    <w:rsid w:val="00377C4D"/>
    <w:rsid w:val="003805BB"/>
    <w:rsid w:val="00380BC1"/>
    <w:rsid w:val="00380C73"/>
    <w:rsid w:val="00381741"/>
    <w:rsid w:val="00382EA3"/>
    <w:rsid w:val="003856F6"/>
    <w:rsid w:val="00390733"/>
    <w:rsid w:val="00397D06"/>
    <w:rsid w:val="003A04D8"/>
    <w:rsid w:val="003A2909"/>
    <w:rsid w:val="003A375A"/>
    <w:rsid w:val="003A4CEE"/>
    <w:rsid w:val="003A691E"/>
    <w:rsid w:val="003A758D"/>
    <w:rsid w:val="003A7A1E"/>
    <w:rsid w:val="003A7DB0"/>
    <w:rsid w:val="003B00BD"/>
    <w:rsid w:val="003B0F98"/>
    <w:rsid w:val="003B6CB4"/>
    <w:rsid w:val="003B6F2B"/>
    <w:rsid w:val="003C5771"/>
    <w:rsid w:val="003C5CC2"/>
    <w:rsid w:val="003C7900"/>
    <w:rsid w:val="003D1946"/>
    <w:rsid w:val="003D1BB5"/>
    <w:rsid w:val="003D2B24"/>
    <w:rsid w:val="003D2DCA"/>
    <w:rsid w:val="003D3322"/>
    <w:rsid w:val="003D3967"/>
    <w:rsid w:val="003D5C9A"/>
    <w:rsid w:val="003D63F3"/>
    <w:rsid w:val="003D68F9"/>
    <w:rsid w:val="003E063C"/>
    <w:rsid w:val="003E1AFA"/>
    <w:rsid w:val="003E1E08"/>
    <w:rsid w:val="003E1EE6"/>
    <w:rsid w:val="003E4905"/>
    <w:rsid w:val="003E4A18"/>
    <w:rsid w:val="003F0AEC"/>
    <w:rsid w:val="003F111A"/>
    <w:rsid w:val="003F75E7"/>
    <w:rsid w:val="003F7AFE"/>
    <w:rsid w:val="00401436"/>
    <w:rsid w:val="00401B42"/>
    <w:rsid w:val="00402802"/>
    <w:rsid w:val="00402D16"/>
    <w:rsid w:val="00403C60"/>
    <w:rsid w:val="00403E4A"/>
    <w:rsid w:val="00405DFA"/>
    <w:rsid w:val="00407121"/>
    <w:rsid w:val="00407C00"/>
    <w:rsid w:val="00410F0F"/>
    <w:rsid w:val="00413295"/>
    <w:rsid w:val="00414662"/>
    <w:rsid w:val="00414D6A"/>
    <w:rsid w:val="004278B7"/>
    <w:rsid w:val="00431144"/>
    <w:rsid w:val="004425FA"/>
    <w:rsid w:val="00443474"/>
    <w:rsid w:val="00444202"/>
    <w:rsid w:val="00446481"/>
    <w:rsid w:val="00446B7C"/>
    <w:rsid w:val="0044762D"/>
    <w:rsid w:val="004621CB"/>
    <w:rsid w:val="00463741"/>
    <w:rsid w:val="004646F3"/>
    <w:rsid w:val="00464B17"/>
    <w:rsid w:val="004706FD"/>
    <w:rsid w:val="00475C03"/>
    <w:rsid w:val="0047722D"/>
    <w:rsid w:val="00481056"/>
    <w:rsid w:val="00482C81"/>
    <w:rsid w:val="00484183"/>
    <w:rsid w:val="004848D4"/>
    <w:rsid w:val="00484C5B"/>
    <w:rsid w:val="004858FB"/>
    <w:rsid w:val="00486F30"/>
    <w:rsid w:val="00487DA9"/>
    <w:rsid w:val="00487E68"/>
    <w:rsid w:val="004911A2"/>
    <w:rsid w:val="004953A7"/>
    <w:rsid w:val="004A0A01"/>
    <w:rsid w:val="004A2647"/>
    <w:rsid w:val="004A2FCD"/>
    <w:rsid w:val="004A3901"/>
    <w:rsid w:val="004A57CE"/>
    <w:rsid w:val="004A5C3E"/>
    <w:rsid w:val="004A6E84"/>
    <w:rsid w:val="004A7315"/>
    <w:rsid w:val="004A7C5F"/>
    <w:rsid w:val="004B2120"/>
    <w:rsid w:val="004B3449"/>
    <w:rsid w:val="004B35DB"/>
    <w:rsid w:val="004B36ED"/>
    <w:rsid w:val="004B3A49"/>
    <w:rsid w:val="004B5303"/>
    <w:rsid w:val="004C2557"/>
    <w:rsid w:val="004C4316"/>
    <w:rsid w:val="004C5DEB"/>
    <w:rsid w:val="004C73A0"/>
    <w:rsid w:val="004C7C71"/>
    <w:rsid w:val="004D0108"/>
    <w:rsid w:val="004D110A"/>
    <w:rsid w:val="004D40DC"/>
    <w:rsid w:val="004D58DF"/>
    <w:rsid w:val="004E3B36"/>
    <w:rsid w:val="004E57BD"/>
    <w:rsid w:val="004E628F"/>
    <w:rsid w:val="004E6EB7"/>
    <w:rsid w:val="004F01B5"/>
    <w:rsid w:val="004F19EF"/>
    <w:rsid w:val="004F447C"/>
    <w:rsid w:val="004F6C26"/>
    <w:rsid w:val="0050382A"/>
    <w:rsid w:val="00512318"/>
    <w:rsid w:val="00517E0F"/>
    <w:rsid w:val="0052008D"/>
    <w:rsid w:val="005200BF"/>
    <w:rsid w:val="0052088F"/>
    <w:rsid w:val="005245CF"/>
    <w:rsid w:val="0052464F"/>
    <w:rsid w:val="005306C3"/>
    <w:rsid w:val="00531474"/>
    <w:rsid w:val="00531FFF"/>
    <w:rsid w:val="00532714"/>
    <w:rsid w:val="0053571A"/>
    <w:rsid w:val="0053782D"/>
    <w:rsid w:val="00541567"/>
    <w:rsid w:val="00544D03"/>
    <w:rsid w:val="005453CE"/>
    <w:rsid w:val="005507FD"/>
    <w:rsid w:val="00550D5F"/>
    <w:rsid w:val="005514B1"/>
    <w:rsid w:val="00555D50"/>
    <w:rsid w:val="00557646"/>
    <w:rsid w:val="00561F99"/>
    <w:rsid w:val="00562028"/>
    <w:rsid w:val="00562791"/>
    <w:rsid w:val="005637FB"/>
    <w:rsid w:val="0056467C"/>
    <w:rsid w:val="00567565"/>
    <w:rsid w:val="005675EE"/>
    <w:rsid w:val="0057184A"/>
    <w:rsid w:val="005729F6"/>
    <w:rsid w:val="00574DEA"/>
    <w:rsid w:val="00581F61"/>
    <w:rsid w:val="005823EC"/>
    <w:rsid w:val="005835C8"/>
    <w:rsid w:val="00585049"/>
    <w:rsid w:val="005906B1"/>
    <w:rsid w:val="00592242"/>
    <w:rsid w:val="00594B1D"/>
    <w:rsid w:val="00594B86"/>
    <w:rsid w:val="005A04A9"/>
    <w:rsid w:val="005A2E3A"/>
    <w:rsid w:val="005A3E3A"/>
    <w:rsid w:val="005A497E"/>
    <w:rsid w:val="005A52D5"/>
    <w:rsid w:val="005A5D40"/>
    <w:rsid w:val="005A6C39"/>
    <w:rsid w:val="005A6FC0"/>
    <w:rsid w:val="005B15DC"/>
    <w:rsid w:val="005B515D"/>
    <w:rsid w:val="005C02CE"/>
    <w:rsid w:val="005C1193"/>
    <w:rsid w:val="005C7C07"/>
    <w:rsid w:val="005D02CE"/>
    <w:rsid w:val="005D1FFA"/>
    <w:rsid w:val="005D20F8"/>
    <w:rsid w:val="005D4325"/>
    <w:rsid w:val="005D4700"/>
    <w:rsid w:val="005D47E6"/>
    <w:rsid w:val="005E20C0"/>
    <w:rsid w:val="005E5EF5"/>
    <w:rsid w:val="005F47C8"/>
    <w:rsid w:val="005F4A61"/>
    <w:rsid w:val="005F6CBA"/>
    <w:rsid w:val="006003B4"/>
    <w:rsid w:val="006005CD"/>
    <w:rsid w:val="006015F8"/>
    <w:rsid w:val="00602F1D"/>
    <w:rsid w:val="006031C7"/>
    <w:rsid w:val="00604441"/>
    <w:rsid w:val="00605EFF"/>
    <w:rsid w:val="0060645E"/>
    <w:rsid w:val="006102CD"/>
    <w:rsid w:val="00612061"/>
    <w:rsid w:val="006148C0"/>
    <w:rsid w:val="00623A8D"/>
    <w:rsid w:val="00625DF1"/>
    <w:rsid w:val="00630364"/>
    <w:rsid w:val="00634482"/>
    <w:rsid w:val="00634EBE"/>
    <w:rsid w:val="006354C4"/>
    <w:rsid w:val="00635C70"/>
    <w:rsid w:val="00636EDB"/>
    <w:rsid w:val="00640134"/>
    <w:rsid w:val="00642A3D"/>
    <w:rsid w:val="006436A9"/>
    <w:rsid w:val="0064546B"/>
    <w:rsid w:val="00646931"/>
    <w:rsid w:val="006474CA"/>
    <w:rsid w:val="0064757E"/>
    <w:rsid w:val="00650015"/>
    <w:rsid w:val="00650F16"/>
    <w:rsid w:val="00650F9E"/>
    <w:rsid w:val="0065570E"/>
    <w:rsid w:val="00660E59"/>
    <w:rsid w:val="006614AD"/>
    <w:rsid w:val="006616D5"/>
    <w:rsid w:val="006677EA"/>
    <w:rsid w:val="0067022E"/>
    <w:rsid w:val="00671875"/>
    <w:rsid w:val="00672994"/>
    <w:rsid w:val="006732B9"/>
    <w:rsid w:val="0067695F"/>
    <w:rsid w:val="00676DE9"/>
    <w:rsid w:val="006817A4"/>
    <w:rsid w:val="00682BEA"/>
    <w:rsid w:val="00682D38"/>
    <w:rsid w:val="0068742D"/>
    <w:rsid w:val="0069079C"/>
    <w:rsid w:val="00692E4C"/>
    <w:rsid w:val="00694BD1"/>
    <w:rsid w:val="006966C7"/>
    <w:rsid w:val="00696E0D"/>
    <w:rsid w:val="00697E7E"/>
    <w:rsid w:val="006A0399"/>
    <w:rsid w:val="006A0540"/>
    <w:rsid w:val="006A59EF"/>
    <w:rsid w:val="006B1C2A"/>
    <w:rsid w:val="006B1D69"/>
    <w:rsid w:val="006B3075"/>
    <w:rsid w:val="006B3796"/>
    <w:rsid w:val="006B3854"/>
    <w:rsid w:val="006B3BC7"/>
    <w:rsid w:val="006B4B0E"/>
    <w:rsid w:val="006B5A7E"/>
    <w:rsid w:val="006B62E7"/>
    <w:rsid w:val="006B73C9"/>
    <w:rsid w:val="006C1D30"/>
    <w:rsid w:val="006C2A96"/>
    <w:rsid w:val="006C44A6"/>
    <w:rsid w:val="006C60B8"/>
    <w:rsid w:val="006C6976"/>
    <w:rsid w:val="006D027D"/>
    <w:rsid w:val="006D0595"/>
    <w:rsid w:val="006D38C0"/>
    <w:rsid w:val="006D3CFB"/>
    <w:rsid w:val="006E1372"/>
    <w:rsid w:val="006E139F"/>
    <w:rsid w:val="006E2D9D"/>
    <w:rsid w:val="006E386A"/>
    <w:rsid w:val="006F2B3D"/>
    <w:rsid w:val="006F4D71"/>
    <w:rsid w:val="006F61BE"/>
    <w:rsid w:val="006F72C8"/>
    <w:rsid w:val="006F77C9"/>
    <w:rsid w:val="00700725"/>
    <w:rsid w:val="00702953"/>
    <w:rsid w:val="00705331"/>
    <w:rsid w:val="007061E4"/>
    <w:rsid w:val="00707DB0"/>
    <w:rsid w:val="00713B73"/>
    <w:rsid w:val="00715CDF"/>
    <w:rsid w:val="00717424"/>
    <w:rsid w:val="00720218"/>
    <w:rsid w:val="00721D55"/>
    <w:rsid w:val="00723AC6"/>
    <w:rsid w:val="00724D87"/>
    <w:rsid w:val="00726CB9"/>
    <w:rsid w:val="007276D1"/>
    <w:rsid w:val="0073683B"/>
    <w:rsid w:val="007369F5"/>
    <w:rsid w:val="00737C1C"/>
    <w:rsid w:val="007400B3"/>
    <w:rsid w:val="0074563F"/>
    <w:rsid w:val="007463FE"/>
    <w:rsid w:val="0075075C"/>
    <w:rsid w:val="00752280"/>
    <w:rsid w:val="007548BD"/>
    <w:rsid w:val="00754F65"/>
    <w:rsid w:val="00757558"/>
    <w:rsid w:val="00761073"/>
    <w:rsid w:val="00761842"/>
    <w:rsid w:val="007629DD"/>
    <w:rsid w:val="007656D9"/>
    <w:rsid w:val="00766E7D"/>
    <w:rsid w:val="007702DD"/>
    <w:rsid w:val="007725CF"/>
    <w:rsid w:val="0077271F"/>
    <w:rsid w:val="00772EBE"/>
    <w:rsid w:val="00773EC5"/>
    <w:rsid w:val="00774586"/>
    <w:rsid w:val="00780B56"/>
    <w:rsid w:val="00782D2E"/>
    <w:rsid w:val="007835BC"/>
    <w:rsid w:val="0078692D"/>
    <w:rsid w:val="00786C51"/>
    <w:rsid w:val="00786F4D"/>
    <w:rsid w:val="0079367A"/>
    <w:rsid w:val="00794566"/>
    <w:rsid w:val="00797C21"/>
    <w:rsid w:val="007A1F33"/>
    <w:rsid w:val="007A22BA"/>
    <w:rsid w:val="007A354F"/>
    <w:rsid w:val="007A42DA"/>
    <w:rsid w:val="007A4719"/>
    <w:rsid w:val="007A4A71"/>
    <w:rsid w:val="007A4F73"/>
    <w:rsid w:val="007B1961"/>
    <w:rsid w:val="007B2DB2"/>
    <w:rsid w:val="007B44B1"/>
    <w:rsid w:val="007B5104"/>
    <w:rsid w:val="007B5996"/>
    <w:rsid w:val="007B69BB"/>
    <w:rsid w:val="007C0ECF"/>
    <w:rsid w:val="007C3D09"/>
    <w:rsid w:val="007C63FA"/>
    <w:rsid w:val="007C7278"/>
    <w:rsid w:val="007D2C1D"/>
    <w:rsid w:val="007D2EA9"/>
    <w:rsid w:val="007D3E2A"/>
    <w:rsid w:val="007D4114"/>
    <w:rsid w:val="007D52E6"/>
    <w:rsid w:val="007D5B3C"/>
    <w:rsid w:val="007D5D32"/>
    <w:rsid w:val="007E2A4B"/>
    <w:rsid w:val="007E36C2"/>
    <w:rsid w:val="007E7F27"/>
    <w:rsid w:val="007F0491"/>
    <w:rsid w:val="007F0ECA"/>
    <w:rsid w:val="007F125E"/>
    <w:rsid w:val="007F1882"/>
    <w:rsid w:val="007F2B6A"/>
    <w:rsid w:val="007F6552"/>
    <w:rsid w:val="00804669"/>
    <w:rsid w:val="00806173"/>
    <w:rsid w:val="0080741E"/>
    <w:rsid w:val="00807A49"/>
    <w:rsid w:val="00810AFA"/>
    <w:rsid w:val="00811385"/>
    <w:rsid w:val="00814610"/>
    <w:rsid w:val="00814A43"/>
    <w:rsid w:val="00815FA5"/>
    <w:rsid w:val="0082109E"/>
    <w:rsid w:val="008212F2"/>
    <w:rsid w:val="00822FFD"/>
    <w:rsid w:val="0082456B"/>
    <w:rsid w:val="0082700B"/>
    <w:rsid w:val="00827F89"/>
    <w:rsid w:val="0083327D"/>
    <w:rsid w:val="00833CFB"/>
    <w:rsid w:val="0083459E"/>
    <w:rsid w:val="008354B4"/>
    <w:rsid w:val="008355C3"/>
    <w:rsid w:val="008407B9"/>
    <w:rsid w:val="00843CEC"/>
    <w:rsid w:val="00843FBB"/>
    <w:rsid w:val="00844B83"/>
    <w:rsid w:val="00845628"/>
    <w:rsid w:val="00845A1C"/>
    <w:rsid w:val="00845F60"/>
    <w:rsid w:val="00847B1F"/>
    <w:rsid w:val="00851E1D"/>
    <w:rsid w:val="00852C08"/>
    <w:rsid w:val="00854452"/>
    <w:rsid w:val="00854F70"/>
    <w:rsid w:val="0085511C"/>
    <w:rsid w:val="00855D93"/>
    <w:rsid w:val="00856F6E"/>
    <w:rsid w:val="00860928"/>
    <w:rsid w:val="0086398B"/>
    <w:rsid w:val="00865B16"/>
    <w:rsid w:val="008660AB"/>
    <w:rsid w:val="00866223"/>
    <w:rsid w:val="00867293"/>
    <w:rsid w:val="00867DD5"/>
    <w:rsid w:val="0087094D"/>
    <w:rsid w:val="0087591E"/>
    <w:rsid w:val="00875DE4"/>
    <w:rsid w:val="00880296"/>
    <w:rsid w:val="0088046D"/>
    <w:rsid w:val="008815B5"/>
    <w:rsid w:val="00881D5A"/>
    <w:rsid w:val="008873E4"/>
    <w:rsid w:val="00891F0A"/>
    <w:rsid w:val="00892E49"/>
    <w:rsid w:val="00892FCB"/>
    <w:rsid w:val="00893A9B"/>
    <w:rsid w:val="008957E5"/>
    <w:rsid w:val="00896CD3"/>
    <w:rsid w:val="008A0BC3"/>
    <w:rsid w:val="008A0CB9"/>
    <w:rsid w:val="008A341B"/>
    <w:rsid w:val="008A4EA9"/>
    <w:rsid w:val="008A6789"/>
    <w:rsid w:val="008B00D9"/>
    <w:rsid w:val="008B09B0"/>
    <w:rsid w:val="008B1657"/>
    <w:rsid w:val="008B1D2C"/>
    <w:rsid w:val="008B2044"/>
    <w:rsid w:val="008B26E2"/>
    <w:rsid w:val="008B4367"/>
    <w:rsid w:val="008B5E83"/>
    <w:rsid w:val="008B634E"/>
    <w:rsid w:val="008B704C"/>
    <w:rsid w:val="008B7368"/>
    <w:rsid w:val="008C140F"/>
    <w:rsid w:val="008C2755"/>
    <w:rsid w:val="008C36B6"/>
    <w:rsid w:val="008C3838"/>
    <w:rsid w:val="008C4199"/>
    <w:rsid w:val="008C43B4"/>
    <w:rsid w:val="008C5F29"/>
    <w:rsid w:val="008D0DDB"/>
    <w:rsid w:val="008D203A"/>
    <w:rsid w:val="008D276C"/>
    <w:rsid w:val="008D6A1E"/>
    <w:rsid w:val="008E706A"/>
    <w:rsid w:val="008F3BC0"/>
    <w:rsid w:val="008F425C"/>
    <w:rsid w:val="009041DC"/>
    <w:rsid w:val="00912C31"/>
    <w:rsid w:val="0091561B"/>
    <w:rsid w:val="009158CD"/>
    <w:rsid w:val="00915DD4"/>
    <w:rsid w:val="00920938"/>
    <w:rsid w:val="00922C9E"/>
    <w:rsid w:val="00925C37"/>
    <w:rsid w:val="009266A6"/>
    <w:rsid w:val="009318FB"/>
    <w:rsid w:val="009320BA"/>
    <w:rsid w:val="00932D8E"/>
    <w:rsid w:val="00942EA5"/>
    <w:rsid w:val="00943919"/>
    <w:rsid w:val="00946D63"/>
    <w:rsid w:val="0095122A"/>
    <w:rsid w:val="009518D1"/>
    <w:rsid w:val="00953F66"/>
    <w:rsid w:val="00954477"/>
    <w:rsid w:val="009550BC"/>
    <w:rsid w:val="0096274A"/>
    <w:rsid w:val="00963FA5"/>
    <w:rsid w:val="00965B53"/>
    <w:rsid w:val="0096635B"/>
    <w:rsid w:val="009714D1"/>
    <w:rsid w:val="00976BE9"/>
    <w:rsid w:val="00981FE9"/>
    <w:rsid w:val="00982597"/>
    <w:rsid w:val="00983148"/>
    <w:rsid w:val="0098600E"/>
    <w:rsid w:val="009926CB"/>
    <w:rsid w:val="0099347D"/>
    <w:rsid w:val="00993E90"/>
    <w:rsid w:val="00995083"/>
    <w:rsid w:val="009A0196"/>
    <w:rsid w:val="009A1941"/>
    <w:rsid w:val="009A3EBE"/>
    <w:rsid w:val="009A47B1"/>
    <w:rsid w:val="009A4DB2"/>
    <w:rsid w:val="009A6809"/>
    <w:rsid w:val="009B338D"/>
    <w:rsid w:val="009B47DF"/>
    <w:rsid w:val="009B4B0E"/>
    <w:rsid w:val="009B5935"/>
    <w:rsid w:val="009B5CE3"/>
    <w:rsid w:val="009B5D80"/>
    <w:rsid w:val="009B6600"/>
    <w:rsid w:val="009B714E"/>
    <w:rsid w:val="009B732D"/>
    <w:rsid w:val="009B7596"/>
    <w:rsid w:val="009C13EE"/>
    <w:rsid w:val="009C2312"/>
    <w:rsid w:val="009C2E9B"/>
    <w:rsid w:val="009C4E85"/>
    <w:rsid w:val="009C6E21"/>
    <w:rsid w:val="009D0AF7"/>
    <w:rsid w:val="009D1637"/>
    <w:rsid w:val="009D234E"/>
    <w:rsid w:val="009E094B"/>
    <w:rsid w:val="009E5C12"/>
    <w:rsid w:val="009E6537"/>
    <w:rsid w:val="009F1F35"/>
    <w:rsid w:val="009F2DC7"/>
    <w:rsid w:val="009F5827"/>
    <w:rsid w:val="00A000F0"/>
    <w:rsid w:val="00A00D6F"/>
    <w:rsid w:val="00A018C1"/>
    <w:rsid w:val="00A01D40"/>
    <w:rsid w:val="00A05A71"/>
    <w:rsid w:val="00A07CA1"/>
    <w:rsid w:val="00A07D9F"/>
    <w:rsid w:val="00A103D4"/>
    <w:rsid w:val="00A10BDE"/>
    <w:rsid w:val="00A13764"/>
    <w:rsid w:val="00A13801"/>
    <w:rsid w:val="00A15871"/>
    <w:rsid w:val="00A16427"/>
    <w:rsid w:val="00A16E95"/>
    <w:rsid w:val="00A17248"/>
    <w:rsid w:val="00A17CE6"/>
    <w:rsid w:val="00A2092E"/>
    <w:rsid w:val="00A21199"/>
    <w:rsid w:val="00A27ADC"/>
    <w:rsid w:val="00A34401"/>
    <w:rsid w:val="00A36BEC"/>
    <w:rsid w:val="00A37B19"/>
    <w:rsid w:val="00A40C23"/>
    <w:rsid w:val="00A423DA"/>
    <w:rsid w:val="00A46F5C"/>
    <w:rsid w:val="00A51D9A"/>
    <w:rsid w:val="00A52636"/>
    <w:rsid w:val="00A56BDC"/>
    <w:rsid w:val="00A6269B"/>
    <w:rsid w:val="00A62D2A"/>
    <w:rsid w:val="00A630DB"/>
    <w:rsid w:val="00A6469E"/>
    <w:rsid w:val="00A650C5"/>
    <w:rsid w:val="00A654FF"/>
    <w:rsid w:val="00A66CB9"/>
    <w:rsid w:val="00A70242"/>
    <w:rsid w:val="00A72406"/>
    <w:rsid w:val="00A72EAE"/>
    <w:rsid w:val="00A8012A"/>
    <w:rsid w:val="00A814BB"/>
    <w:rsid w:val="00A817F6"/>
    <w:rsid w:val="00A82D5B"/>
    <w:rsid w:val="00A83166"/>
    <w:rsid w:val="00A83196"/>
    <w:rsid w:val="00A85BE8"/>
    <w:rsid w:val="00A86AB4"/>
    <w:rsid w:val="00A90634"/>
    <w:rsid w:val="00A91329"/>
    <w:rsid w:val="00A92278"/>
    <w:rsid w:val="00A92321"/>
    <w:rsid w:val="00A93338"/>
    <w:rsid w:val="00A94520"/>
    <w:rsid w:val="00A948DC"/>
    <w:rsid w:val="00A9495C"/>
    <w:rsid w:val="00A949CC"/>
    <w:rsid w:val="00AA2DB9"/>
    <w:rsid w:val="00AB1443"/>
    <w:rsid w:val="00AB18E5"/>
    <w:rsid w:val="00AC045D"/>
    <w:rsid w:val="00AC2A37"/>
    <w:rsid w:val="00AC397F"/>
    <w:rsid w:val="00AD2EF7"/>
    <w:rsid w:val="00AD6708"/>
    <w:rsid w:val="00AD6A1F"/>
    <w:rsid w:val="00AD6C9B"/>
    <w:rsid w:val="00AD6E42"/>
    <w:rsid w:val="00AE2883"/>
    <w:rsid w:val="00AE3B20"/>
    <w:rsid w:val="00AE40A6"/>
    <w:rsid w:val="00AE459C"/>
    <w:rsid w:val="00AF2951"/>
    <w:rsid w:val="00AF4698"/>
    <w:rsid w:val="00AF5D94"/>
    <w:rsid w:val="00AF6D22"/>
    <w:rsid w:val="00B06472"/>
    <w:rsid w:val="00B066B6"/>
    <w:rsid w:val="00B0793F"/>
    <w:rsid w:val="00B079A0"/>
    <w:rsid w:val="00B10808"/>
    <w:rsid w:val="00B1236C"/>
    <w:rsid w:val="00B1254C"/>
    <w:rsid w:val="00B1303B"/>
    <w:rsid w:val="00B13364"/>
    <w:rsid w:val="00B15215"/>
    <w:rsid w:val="00B160D9"/>
    <w:rsid w:val="00B1630D"/>
    <w:rsid w:val="00B17344"/>
    <w:rsid w:val="00B257F5"/>
    <w:rsid w:val="00B27327"/>
    <w:rsid w:val="00B27544"/>
    <w:rsid w:val="00B34107"/>
    <w:rsid w:val="00B34A3C"/>
    <w:rsid w:val="00B35CC4"/>
    <w:rsid w:val="00B367E2"/>
    <w:rsid w:val="00B4090C"/>
    <w:rsid w:val="00B4279B"/>
    <w:rsid w:val="00B4571D"/>
    <w:rsid w:val="00B45BEC"/>
    <w:rsid w:val="00B4648F"/>
    <w:rsid w:val="00B46545"/>
    <w:rsid w:val="00B47353"/>
    <w:rsid w:val="00B50B09"/>
    <w:rsid w:val="00B51C7A"/>
    <w:rsid w:val="00B52ABD"/>
    <w:rsid w:val="00B52B99"/>
    <w:rsid w:val="00B57542"/>
    <w:rsid w:val="00B6024C"/>
    <w:rsid w:val="00B61631"/>
    <w:rsid w:val="00B66D0F"/>
    <w:rsid w:val="00B724E9"/>
    <w:rsid w:val="00B739EB"/>
    <w:rsid w:val="00B7427D"/>
    <w:rsid w:val="00B745B5"/>
    <w:rsid w:val="00B74E59"/>
    <w:rsid w:val="00B75DE0"/>
    <w:rsid w:val="00B803AC"/>
    <w:rsid w:val="00B80CEC"/>
    <w:rsid w:val="00B844ED"/>
    <w:rsid w:val="00B849D8"/>
    <w:rsid w:val="00B87E44"/>
    <w:rsid w:val="00B9111B"/>
    <w:rsid w:val="00B93BB6"/>
    <w:rsid w:val="00B958B8"/>
    <w:rsid w:val="00B9788C"/>
    <w:rsid w:val="00BA0D60"/>
    <w:rsid w:val="00BA0E2E"/>
    <w:rsid w:val="00BA19D6"/>
    <w:rsid w:val="00BA2E14"/>
    <w:rsid w:val="00BB1362"/>
    <w:rsid w:val="00BB3247"/>
    <w:rsid w:val="00BB4720"/>
    <w:rsid w:val="00BB4E6D"/>
    <w:rsid w:val="00BB52DB"/>
    <w:rsid w:val="00BB79FC"/>
    <w:rsid w:val="00BC276C"/>
    <w:rsid w:val="00BC3F57"/>
    <w:rsid w:val="00BC488C"/>
    <w:rsid w:val="00BC4A28"/>
    <w:rsid w:val="00BC5A57"/>
    <w:rsid w:val="00BC689D"/>
    <w:rsid w:val="00BC7D56"/>
    <w:rsid w:val="00BD2F0A"/>
    <w:rsid w:val="00BD4173"/>
    <w:rsid w:val="00BD4A05"/>
    <w:rsid w:val="00BD53BA"/>
    <w:rsid w:val="00BD5B9E"/>
    <w:rsid w:val="00BD5DB2"/>
    <w:rsid w:val="00BE2EE3"/>
    <w:rsid w:val="00BE67B4"/>
    <w:rsid w:val="00BE76DC"/>
    <w:rsid w:val="00BF1D6B"/>
    <w:rsid w:val="00BF6F34"/>
    <w:rsid w:val="00C012B8"/>
    <w:rsid w:val="00C077DE"/>
    <w:rsid w:val="00C10263"/>
    <w:rsid w:val="00C11D1B"/>
    <w:rsid w:val="00C1279C"/>
    <w:rsid w:val="00C13B54"/>
    <w:rsid w:val="00C149A6"/>
    <w:rsid w:val="00C22838"/>
    <w:rsid w:val="00C23892"/>
    <w:rsid w:val="00C25D43"/>
    <w:rsid w:val="00C26F71"/>
    <w:rsid w:val="00C27DD4"/>
    <w:rsid w:val="00C3101B"/>
    <w:rsid w:val="00C31A76"/>
    <w:rsid w:val="00C32442"/>
    <w:rsid w:val="00C33838"/>
    <w:rsid w:val="00C34029"/>
    <w:rsid w:val="00C34977"/>
    <w:rsid w:val="00C3555A"/>
    <w:rsid w:val="00C37D0E"/>
    <w:rsid w:val="00C40B3E"/>
    <w:rsid w:val="00C43088"/>
    <w:rsid w:val="00C43D0E"/>
    <w:rsid w:val="00C5208B"/>
    <w:rsid w:val="00C52D26"/>
    <w:rsid w:val="00C530A0"/>
    <w:rsid w:val="00C53973"/>
    <w:rsid w:val="00C53F76"/>
    <w:rsid w:val="00C55463"/>
    <w:rsid w:val="00C57087"/>
    <w:rsid w:val="00C63742"/>
    <w:rsid w:val="00C64778"/>
    <w:rsid w:val="00C65590"/>
    <w:rsid w:val="00C65724"/>
    <w:rsid w:val="00C6600D"/>
    <w:rsid w:val="00C66D89"/>
    <w:rsid w:val="00C72436"/>
    <w:rsid w:val="00C73FC3"/>
    <w:rsid w:val="00C75825"/>
    <w:rsid w:val="00C75AE1"/>
    <w:rsid w:val="00C75C45"/>
    <w:rsid w:val="00C76110"/>
    <w:rsid w:val="00C76FC8"/>
    <w:rsid w:val="00C83DB6"/>
    <w:rsid w:val="00C87EE6"/>
    <w:rsid w:val="00C930FB"/>
    <w:rsid w:val="00C94B03"/>
    <w:rsid w:val="00C96394"/>
    <w:rsid w:val="00C9735C"/>
    <w:rsid w:val="00CA0898"/>
    <w:rsid w:val="00CA08B6"/>
    <w:rsid w:val="00CA12F6"/>
    <w:rsid w:val="00CA4644"/>
    <w:rsid w:val="00CA5FDC"/>
    <w:rsid w:val="00CB04CD"/>
    <w:rsid w:val="00CB1290"/>
    <w:rsid w:val="00CB249D"/>
    <w:rsid w:val="00CC1A48"/>
    <w:rsid w:val="00CC2B39"/>
    <w:rsid w:val="00CC2BBE"/>
    <w:rsid w:val="00CC30FD"/>
    <w:rsid w:val="00CC3CE6"/>
    <w:rsid w:val="00CC4435"/>
    <w:rsid w:val="00CC4828"/>
    <w:rsid w:val="00CC4D73"/>
    <w:rsid w:val="00CC6859"/>
    <w:rsid w:val="00CD0965"/>
    <w:rsid w:val="00CD3762"/>
    <w:rsid w:val="00CD690F"/>
    <w:rsid w:val="00CD6FF9"/>
    <w:rsid w:val="00CD7002"/>
    <w:rsid w:val="00CD746D"/>
    <w:rsid w:val="00CE14E8"/>
    <w:rsid w:val="00CE1599"/>
    <w:rsid w:val="00CE2C51"/>
    <w:rsid w:val="00CE30E5"/>
    <w:rsid w:val="00CE3F64"/>
    <w:rsid w:val="00CE7465"/>
    <w:rsid w:val="00CF14C8"/>
    <w:rsid w:val="00CF6F84"/>
    <w:rsid w:val="00D011E5"/>
    <w:rsid w:val="00D0183A"/>
    <w:rsid w:val="00D02416"/>
    <w:rsid w:val="00D02499"/>
    <w:rsid w:val="00D07AA1"/>
    <w:rsid w:val="00D07E96"/>
    <w:rsid w:val="00D10393"/>
    <w:rsid w:val="00D11519"/>
    <w:rsid w:val="00D14408"/>
    <w:rsid w:val="00D159B3"/>
    <w:rsid w:val="00D15CC1"/>
    <w:rsid w:val="00D1638C"/>
    <w:rsid w:val="00D173A9"/>
    <w:rsid w:val="00D20EBB"/>
    <w:rsid w:val="00D215E9"/>
    <w:rsid w:val="00D222CB"/>
    <w:rsid w:val="00D24E08"/>
    <w:rsid w:val="00D26577"/>
    <w:rsid w:val="00D35505"/>
    <w:rsid w:val="00D36495"/>
    <w:rsid w:val="00D419C6"/>
    <w:rsid w:val="00D43D4A"/>
    <w:rsid w:val="00D46C1E"/>
    <w:rsid w:val="00D51F86"/>
    <w:rsid w:val="00D5225C"/>
    <w:rsid w:val="00D54225"/>
    <w:rsid w:val="00D55355"/>
    <w:rsid w:val="00D564EE"/>
    <w:rsid w:val="00D56E8F"/>
    <w:rsid w:val="00D5730F"/>
    <w:rsid w:val="00D57CA1"/>
    <w:rsid w:val="00D57FF3"/>
    <w:rsid w:val="00D61EDC"/>
    <w:rsid w:val="00D654DB"/>
    <w:rsid w:val="00D67164"/>
    <w:rsid w:val="00D80110"/>
    <w:rsid w:val="00D825FD"/>
    <w:rsid w:val="00D845AE"/>
    <w:rsid w:val="00D84DDE"/>
    <w:rsid w:val="00D8692B"/>
    <w:rsid w:val="00D86B15"/>
    <w:rsid w:val="00D86D5F"/>
    <w:rsid w:val="00D92C07"/>
    <w:rsid w:val="00D93321"/>
    <w:rsid w:val="00D95F90"/>
    <w:rsid w:val="00DA49F2"/>
    <w:rsid w:val="00DA4E49"/>
    <w:rsid w:val="00DA6750"/>
    <w:rsid w:val="00DA6E6B"/>
    <w:rsid w:val="00DB0111"/>
    <w:rsid w:val="00DB0AB9"/>
    <w:rsid w:val="00DB118D"/>
    <w:rsid w:val="00DB1BC3"/>
    <w:rsid w:val="00DB282C"/>
    <w:rsid w:val="00DB3608"/>
    <w:rsid w:val="00DB37B0"/>
    <w:rsid w:val="00DB614B"/>
    <w:rsid w:val="00DB6F93"/>
    <w:rsid w:val="00DB7151"/>
    <w:rsid w:val="00DC176D"/>
    <w:rsid w:val="00DC1EFB"/>
    <w:rsid w:val="00DC21C5"/>
    <w:rsid w:val="00DC2BB8"/>
    <w:rsid w:val="00DC4444"/>
    <w:rsid w:val="00DC4821"/>
    <w:rsid w:val="00DD0E6C"/>
    <w:rsid w:val="00DD275D"/>
    <w:rsid w:val="00DD2DB3"/>
    <w:rsid w:val="00DD3D74"/>
    <w:rsid w:val="00DD3F02"/>
    <w:rsid w:val="00DD5A5E"/>
    <w:rsid w:val="00DE06B6"/>
    <w:rsid w:val="00DE0D72"/>
    <w:rsid w:val="00DE6228"/>
    <w:rsid w:val="00DF0635"/>
    <w:rsid w:val="00DF08D3"/>
    <w:rsid w:val="00DF1F43"/>
    <w:rsid w:val="00DF2EFD"/>
    <w:rsid w:val="00DF3762"/>
    <w:rsid w:val="00DF6352"/>
    <w:rsid w:val="00DF6B46"/>
    <w:rsid w:val="00DF742A"/>
    <w:rsid w:val="00DF7685"/>
    <w:rsid w:val="00DF76D5"/>
    <w:rsid w:val="00DF7D9A"/>
    <w:rsid w:val="00DF7FD7"/>
    <w:rsid w:val="00E00C28"/>
    <w:rsid w:val="00E025F4"/>
    <w:rsid w:val="00E02608"/>
    <w:rsid w:val="00E062F4"/>
    <w:rsid w:val="00E105D4"/>
    <w:rsid w:val="00E10D2C"/>
    <w:rsid w:val="00E11944"/>
    <w:rsid w:val="00E122B9"/>
    <w:rsid w:val="00E14698"/>
    <w:rsid w:val="00E14802"/>
    <w:rsid w:val="00E15399"/>
    <w:rsid w:val="00E16FCA"/>
    <w:rsid w:val="00E207E1"/>
    <w:rsid w:val="00E21D93"/>
    <w:rsid w:val="00E235B1"/>
    <w:rsid w:val="00E30111"/>
    <w:rsid w:val="00E306B3"/>
    <w:rsid w:val="00E3230C"/>
    <w:rsid w:val="00E334DA"/>
    <w:rsid w:val="00E334F7"/>
    <w:rsid w:val="00E337D0"/>
    <w:rsid w:val="00E35200"/>
    <w:rsid w:val="00E36464"/>
    <w:rsid w:val="00E44C76"/>
    <w:rsid w:val="00E54E31"/>
    <w:rsid w:val="00E556E1"/>
    <w:rsid w:val="00E6260F"/>
    <w:rsid w:val="00E628C7"/>
    <w:rsid w:val="00E631A9"/>
    <w:rsid w:val="00E635A6"/>
    <w:rsid w:val="00E63A0E"/>
    <w:rsid w:val="00E64A3B"/>
    <w:rsid w:val="00E6758E"/>
    <w:rsid w:val="00E67AC3"/>
    <w:rsid w:val="00E71DC6"/>
    <w:rsid w:val="00E72E5E"/>
    <w:rsid w:val="00E80FF6"/>
    <w:rsid w:val="00E810C8"/>
    <w:rsid w:val="00E8435E"/>
    <w:rsid w:val="00E84DBE"/>
    <w:rsid w:val="00E86209"/>
    <w:rsid w:val="00E87BE4"/>
    <w:rsid w:val="00E91EEC"/>
    <w:rsid w:val="00E94091"/>
    <w:rsid w:val="00E94AD8"/>
    <w:rsid w:val="00E96575"/>
    <w:rsid w:val="00EA015C"/>
    <w:rsid w:val="00EA1661"/>
    <w:rsid w:val="00EA4316"/>
    <w:rsid w:val="00EB09DC"/>
    <w:rsid w:val="00EB0CF8"/>
    <w:rsid w:val="00EB1D32"/>
    <w:rsid w:val="00EB257A"/>
    <w:rsid w:val="00EB2F49"/>
    <w:rsid w:val="00EB33A8"/>
    <w:rsid w:val="00EB3E31"/>
    <w:rsid w:val="00EB4E64"/>
    <w:rsid w:val="00EB6C12"/>
    <w:rsid w:val="00EC001D"/>
    <w:rsid w:val="00EC35D0"/>
    <w:rsid w:val="00EC4CC3"/>
    <w:rsid w:val="00EC5D78"/>
    <w:rsid w:val="00EC62CE"/>
    <w:rsid w:val="00ED02BF"/>
    <w:rsid w:val="00ED0A66"/>
    <w:rsid w:val="00ED0AA0"/>
    <w:rsid w:val="00ED162E"/>
    <w:rsid w:val="00ED2C63"/>
    <w:rsid w:val="00ED659D"/>
    <w:rsid w:val="00EE0909"/>
    <w:rsid w:val="00EF132B"/>
    <w:rsid w:val="00EF1904"/>
    <w:rsid w:val="00EF3A29"/>
    <w:rsid w:val="00EF41FF"/>
    <w:rsid w:val="00EF4D8A"/>
    <w:rsid w:val="00EF541C"/>
    <w:rsid w:val="00EF6E6F"/>
    <w:rsid w:val="00F0078D"/>
    <w:rsid w:val="00F00805"/>
    <w:rsid w:val="00F04FCB"/>
    <w:rsid w:val="00F0531E"/>
    <w:rsid w:val="00F058D4"/>
    <w:rsid w:val="00F13B4C"/>
    <w:rsid w:val="00F14688"/>
    <w:rsid w:val="00F14831"/>
    <w:rsid w:val="00F165D4"/>
    <w:rsid w:val="00F31429"/>
    <w:rsid w:val="00F31966"/>
    <w:rsid w:val="00F33BC7"/>
    <w:rsid w:val="00F3651C"/>
    <w:rsid w:val="00F370DC"/>
    <w:rsid w:val="00F43B3E"/>
    <w:rsid w:val="00F442A1"/>
    <w:rsid w:val="00F46864"/>
    <w:rsid w:val="00F4704A"/>
    <w:rsid w:val="00F5098A"/>
    <w:rsid w:val="00F50C77"/>
    <w:rsid w:val="00F53D6B"/>
    <w:rsid w:val="00F562EB"/>
    <w:rsid w:val="00F606C2"/>
    <w:rsid w:val="00F630BB"/>
    <w:rsid w:val="00F634EF"/>
    <w:rsid w:val="00F66041"/>
    <w:rsid w:val="00F6630D"/>
    <w:rsid w:val="00F71646"/>
    <w:rsid w:val="00F7231D"/>
    <w:rsid w:val="00F72523"/>
    <w:rsid w:val="00F74F61"/>
    <w:rsid w:val="00F760A6"/>
    <w:rsid w:val="00F81305"/>
    <w:rsid w:val="00F81EF7"/>
    <w:rsid w:val="00F84C94"/>
    <w:rsid w:val="00F84DD2"/>
    <w:rsid w:val="00F8581B"/>
    <w:rsid w:val="00F86BB8"/>
    <w:rsid w:val="00F90DE0"/>
    <w:rsid w:val="00F91005"/>
    <w:rsid w:val="00F91FC8"/>
    <w:rsid w:val="00F9201D"/>
    <w:rsid w:val="00F93F7E"/>
    <w:rsid w:val="00F94E5F"/>
    <w:rsid w:val="00F96836"/>
    <w:rsid w:val="00FA3612"/>
    <w:rsid w:val="00FA48EE"/>
    <w:rsid w:val="00FA4E12"/>
    <w:rsid w:val="00FA7A7B"/>
    <w:rsid w:val="00FB0C33"/>
    <w:rsid w:val="00FB1968"/>
    <w:rsid w:val="00FB39B1"/>
    <w:rsid w:val="00FC0DEC"/>
    <w:rsid w:val="00FC24BD"/>
    <w:rsid w:val="00FC2D5B"/>
    <w:rsid w:val="00FC2E4C"/>
    <w:rsid w:val="00FD1DD3"/>
    <w:rsid w:val="00FD695A"/>
    <w:rsid w:val="00FD7852"/>
    <w:rsid w:val="00FD7F4C"/>
    <w:rsid w:val="00FE4BE3"/>
    <w:rsid w:val="00FE73B1"/>
    <w:rsid w:val="00FF2DFD"/>
    <w:rsid w:val="00FF362C"/>
    <w:rsid w:val="00FF46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1361"/>
  <w15:docId w15:val="{4365B5C8-42D8-4C56-BBEA-35AA5563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D8"/>
    <w:pPr>
      <w:spacing w:after="0"/>
      <w:jc w:val="both"/>
    </w:pPr>
    <w:rPr>
      <w:rFonts w:ascii="HelveticaNeueLT Std" w:hAnsi="HelveticaNeueLT Std"/>
      <w:sz w:val="24"/>
      <w:szCs w:val="24"/>
    </w:rPr>
  </w:style>
  <w:style w:type="paragraph" w:styleId="Ttulo1">
    <w:name w:val="heading 1"/>
    <w:basedOn w:val="Normal"/>
    <w:next w:val="Normal"/>
    <w:link w:val="Ttulo1Car"/>
    <w:uiPriority w:val="9"/>
    <w:qFormat/>
    <w:rsid w:val="00074AD8"/>
    <w:pPr>
      <w:keepNext/>
      <w:keepLines/>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400B3"/>
    <w:pPr>
      <w:keepNext/>
      <w:keepLines/>
      <w:spacing w:before="40"/>
      <w:outlineLvl w:val="1"/>
    </w:pPr>
    <w:rPr>
      <w:rFonts w:eastAsiaTheme="majorEastAsia" w:cstheme="majorBidi"/>
      <w:szCs w:val="26"/>
    </w:rPr>
  </w:style>
  <w:style w:type="paragraph" w:styleId="Ttulo3">
    <w:name w:val="heading 3"/>
    <w:basedOn w:val="Normal"/>
    <w:next w:val="Normal"/>
    <w:link w:val="Ttulo3Car"/>
    <w:uiPriority w:val="9"/>
    <w:unhideWhenUsed/>
    <w:qFormat/>
    <w:rsid w:val="006732B9"/>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0108"/>
    <w:rPr>
      <w:color w:val="0000FF"/>
      <w:u w:val="single"/>
    </w:rPr>
  </w:style>
  <w:style w:type="character" w:styleId="Hipervnculovisitado">
    <w:name w:val="FollowedHyperlink"/>
    <w:basedOn w:val="Fuentedeprrafopredeter"/>
    <w:uiPriority w:val="99"/>
    <w:semiHidden/>
    <w:unhideWhenUsed/>
    <w:rsid w:val="004D0108"/>
    <w:rPr>
      <w:color w:val="C00000"/>
      <w:u w:val="single"/>
    </w:rPr>
  </w:style>
  <w:style w:type="paragraph" w:customStyle="1" w:styleId="msonormal0">
    <w:name w:val="msonormal"/>
    <w:basedOn w:val="Normal"/>
    <w:rsid w:val="004D0108"/>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91">
    <w:name w:val="xl491"/>
    <w:basedOn w:val="Normal"/>
    <w:rsid w:val="004D0108"/>
    <w:pPr>
      <w:shd w:val="clear" w:color="000000" w:fill="FFFFFF"/>
      <w:spacing w:before="100" w:beforeAutospacing="1" w:after="100" w:afterAutospacing="1" w:line="240" w:lineRule="auto"/>
      <w:textAlignment w:val="top"/>
    </w:pPr>
    <w:rPr>
      <w:rFonts w:eastAsia="Times New Roman" w:cs="Times New Roman"/>
      <w:color w:val="000000"/>
      <w:lang w:eastAsia="es-MX"/>
    </w:rPr>
  </w:style>
  <w:style w:type="paragraph" w:customStyle="1" w:styleId="xl492">
    <w:name w:val="xl492"/>
    <w:basedOn w:val="Normal"/>
    <w:rsid w:val="004D0108"/>
    <w:pPr>
      <w:shd w:val="clear" w:color="000000" w:fill="FFFFFF"/>
      <w:spacing w:before="100" w:beforeAutospacing="1" w:after="100" w:afterAutospacing="1" w:line="240" w:lineRule="auto"/>
      <w:jc w:val="right"/>
      <w:textAlignment w:val="top"/>
    </w:pPr>
    <w:rPr>
      <w:rFonts w:eastAsia="Times New Roman" w:cs="Times New Roman"/>
      <w:b/>
      <w:bCs/>
      <w:lang w:eastAsia="es-MX"/>
    </w:rPr>
  </w:style>
  <w:style w:type="paragraph" w:customStyle="1" w:styleId="xl493">
    <w:name w:val="xl493"/>
    <w:basedOn w:val="Normal"/>
    <w:rsid w:val="004D0108"/>
    <w:pPr>
      <w:shd w:val="clear" w:color="000000" w:fill="FFFFFF"/>
      <w:spacing w:before="100" w:beforeAutospacing="1" w:after="100" w:afterAutospacing="1" w:line="240" w:lineRule="auto"/>
      <w:textAlignment w:val="top"/>
    </w:pPr>
    <w:rPr>
      <w:rFonts w:eastAsia="Times New Roman" w:cs="Times New Roman"/>
      <w:b/>
      <w:bCs/>
      <w:lang w:eastAsia="es-MX"/>
    </w:rPr>
  </w:style>
  <w:style w:type="paragraph" w:customStyle="1" w:styleId="xl494">
    <w:name w:val="xl494"/>
    <w:basedOn w:val="Normal"/>
    <w:rsid w:val="004D0108"/>
    <w:pPr>
      <w:shd w:val="clear" w:color="000000" w:fill="FFFFFF"/>
      <w:spacing w:before="100" w:beforeAutospacing="1" w:after="100" w:afterAutospacing="1" w:line="240" w:lineRule="auto"/>
      <w:textAlignment w:val="top"/>
    </w:pPr>
    <w:rPr>
      <w:rFonts w:eastAsia="Times New Roman" w:cs="Times New Roman"/>
      <w:b/>
      <w:bCs/>
      <w:color w:val="000000"/>
      <w:lang w:eastAsia="es-MX"/>
    </w:rPr>
  </w:style>
  <w:style w:type="paragraph" w:customStyle="1" w:styleId="xl495">
    <w:name w:val="xl495"/>
    <w:basedOn w:val="Normal"/>
    <w:rsid w:val="004D0108"/>
    <w:pPr>
      <w:spacing w:before="100" w:beforeAutospacing="1" w:after="100" w:afterAutospacing="1" w:line="240" w:lineRule="auto"/>
      <w:textAlignment w:val="top"/>
    </w:pPr>
    <w:rPr>
      <w:rFonts w:eastAsia="Times New Roman" w:cs="Times New Roman"/>
      <w:color w:val="000000"/>
      <w:lang w:eastAsia="es-MX"/>
    </w:rPr>
  </w:style>
  <w:style w:type="paragraph" w:customStyle="1" w:styleId="xl496">
    <w:name w:val="xl496"/>
    <w:basedOn w:val="Normal"/>
    <w:rsid w:val="004D0108"/>
    <w:pPr>
      <w:spacing w:before="100" w:beforeAutospacing="1" w:after="100" w:afterAutospacing="1" w:line="240" w:lineRule="auto"/>
      <w:textAlignment w:val="top"/>
    </w:pPr>
    <w:rPr>
      <w:rFonts w:eastAsia="Times New Roman" w:cs="Times New Roman"/>
      <w:color w:val="FF0000"/>
      <w:lang w:eastAsia="es-MX"/>
    </w:rPr>
  </w:style>
  <w:style w:type="paragraph" w:customStyle="1" w:styleId="xl497">
    <w:name w:val="xl497"/>
    <w:basedOn w:val="Normal"/>
    <w:rsid w:val="004D0108"/>
    <w:pPr>
      <w:shd w:val="clear" w:color="000000" w:fill="FFFFFF"/>
      <w:spacing w:before="100" w:beforeAutospacing="1" w:after="100" w:afterAutospacing="1" w:line="240" w:lineRule="auto"/>
      <w:textAlignment w:val="top"/>
    </w:pPr>
    <w:rPr>
      <w:rFonts w:eastAsia="Times New Roman" w:cs="Times New Roman"/>
      <w:lang w:eastAsia="es-MX"/>
    </w:rPr>
  </w:style>
  <w:style w:type="paragraph" w:customStyle="1" w:styleId="xl498">
    <w:name w:val="xl498"/>
    <w:basedOn w:val="Normal"/>
    <w:rsid w:val="004D0108"/>
    <w:pPr>
      <w:shd w:val="clear" w:color="000000" w:fill="FFFFFF"/>
      <w:spacing w:before="100" w:beforeAutospacing="1" w:after="100" w:afterAutospacing="1" w:line="240" w:lineRule="auto"/>
      <w:textAlignment w:val="top"/>
    </w:pPr>
    <w:rPr>
      <w:rFonts w:eastAsia="Times New Roman" w:cs="Times New Roman"/>
      <w:lang w:eastAsia="es-MX"/>
    </w:rPr>
  </w:style>
  <w:style w:type="paragraph" w:customStyle="1" w:styleId="xl499">
    <w:name w:val="xl499"/>
    <w:basedOn w:val="Normal"/>
    <w:rsid w:val="004D0108"/>
    <w:pPr>
      <w:spacing w:before="100" w:beforeAutospacing="1" w:after="100" w:afterAutospacing="1" w:line="240" w:lineRule="auto"/>
      <w:textAlignment w:val="top"/>
    </w:pPr>
    <w:rPr>
      <w:rFonts w:eastAsia="Times New Roman" w:cs="Times New Roman"/>
      <w:lang w:eastAsia="es-MX"/>
    </w:rPr>
  </w:style>
  <w:style w:type="paragraph" w:customStyle="1" w:styleId="xl500">
    <w:name w:val="xl500"/>
    <w:basedOn w:val="Normal"/>
    <w:rsid w:val="004D0108"/>
    <w:pPr>
      <w:spacing w:before="100" w:beforeAutospacing="1" w:after="100" w:afterAutospacing="1" w:line="240" w:lineRule="auto"/>
      <w:jc w:val="right"/>
      <w:textAlignment w:val="top"/>
    </w:pPr>
    <w:rPr>
      <w:rFonts w:eastAsia="Times New Roman" w:cs="Times New Roman"/>
      <w:lang w:eastAsia="es-MX"/>
    </w:rPr>
  </w:style>
  <w:style w:type="paragraph" w:customStyle="1" w:styleId="xl501">
    <w:name w:val="xl501"/>
    <w:basedOn w:val="Normal"/>
    <w:rsid w:val="004D0108"/>
    <w:pPr>
      <w:spacing w:before="100" w:beforeAutospacing="1" w:after="100" w:afterAutospacing="1" w:line="240" w:lineRule="auto"/>
      <w:textAlignment w:val="top"/>
    </w:pPr>
    <w:rPr>
      <w:rFonts w:eastAsia="Times New Roman" w:cs="Times New Roman"/>
      <w:lang w:eastAsia="es-MX"/>
    </w:rPr>
  </w:style>
  <w:style w:type="paragraph" w:customStyle="1" w:styleId="xl502">
    <w:name w:val="xl502"/>
    <w:basedOn w:val="Normal"/>
    <w:rsid w:val="004D0108"/>
    <w:pPr>
      <w:spacing w:before="100" w:beforeAutospacing="1" w:after="100" w:afterAutospacing="1" w:line="240" w:lineRule="auto"/>
      <w:textAlignment w:val="top"/>
    </w:pPr>
    <w:rPr>
      <w:rFonts w:eastAsia="Times New Roman" w:cs="Times New Roman"/>
      <w:b/>
      <w:bCs/>
      <w:lang w:eastAsia="es-MX"/>
    </w:rPr>
  </w:style>
  <w:style w:type="paragraph" w:customStyle="1" w:styleId="xl503">
    <w:name w:val="xl503"/>
    <w:basedOn w:val="Normal"/>
    <w:rsid w:val="004D0108"/>
    <w:pPr>
      <w:spacing w:before="100" w:beforeAutospacing="1" w:after="100" w:afterAutospacing="1" w:line="240" w:lineRule="auto"/>
      <w:textAlignment w:val="top"/>
    </w:pPr>
    <w:rPr>
      <w:rFonts w:eastAsia="Times New Roman" w:cs="Times New Roman"/>
      <w:lang w:eastAsia="es-MX"/>
    </w:rPr>
  </w:style>
  <w:style w:type="paragraph" w:customStyle="1" w:styleId="xl504">
    <w:name w:val="xl504"/>
    <w:basedOn w:val="Normal"/>
    <w:rsid w:val="004D0108"/>
    <w:pPr>
      <w:spacing w:before="100" w:beforeAutospacing="1" w:after="100" w:afterAutospacing="1" w:line="240" w:lineRule="auto"/>
      <w:textAlignment w:val="top"/>
    </w:pPr>
    <w:rPr>
      <w:rFonts w:eastAsia="Times New Roman" w:cs="Times New Roman"/>
      <w:color w:val="000000"/>
      <w:lang w:eastAsia="es-MX"/>
    </w:rPr>
  </w:style>
  <w:style w:type="paragraph" w:customStyle="1" w:styleId="xl505">
    <w:name w:val="xl505"/>
    <w:basedOn w:val="Normal"/>
    <w:rsid w:val="004D0108"/>
    <w:pPr>
      <w:shd w:val="clear" w:color="000000" w:fill="FFFFFF"/>
      <w:spacing w:before="100" w:beforeAutospacing="1" w:after="100" w:afterAutospacing="1" w:line="240" w:lineRule="auto"/>
      <w:textAlignment w:val="top"/>
    </w:pPr>
    <w:rPr>
      <w:rFonts w:eastAsia="Times New Roman" w:cs="Times New Roman"/>
      <w:color w:val="000000"/>
      <w:lang w:eastAsia="es-MX"/>
    </w:rPr>
  </w:style>
  <w:style w:type="paragraph" w:customStyle="1" w:styleId="xl506">
    <w:name w:val="xl506"/>
    <w:basedOn w:val="Normal"/>
    <w:rsid w:val="004D0108"/>
    <w:pPr>
      <w:shd w:val="clear" w:color="000000" w:fill="FFFFFF"/>
      <w:spacing w:before="100" w:beforeAutospacing="1" w:after="100" w:afterAutospacing="1" w:line="240" w:lineRule="auto"/>
      <w:textAlignment w:val="top"/>
    </w:pPr>
    <w:rPr>
      <w:rFonts w:eastAsia="Times New Roman" w:cs="Times New Roman"/>
      <w:lang w:eastAsia="es-MX"/>
    </w:rPr>
  </w:style>
  <w:style w:type="paragraph" w:customStyle="1" w:styleId="xl507">
    <w:name w:val="xl507"/>
    <w:basedOn w:val="Normal"/>
    <w:rsid w:val="004D0108"/>
    <w:pPr>
      <w:shd w:val="clear" w:color="000000" w:fill="FFFFFF"/>
      <w:spacing w:before="100" w:beforeAutospacing="1" w:after="100" w:afterAutospacing="1" w:line="240" w:lineRule="auto"/>
      <w:textAlignment w:val="top"/>
    </w:pPr>
    <w:rPr>
      <w:rFonts w:eastAsia="Times New Roman" w:cs="Times New Roman"/>
      <w:color w:val="000000"/>
      <w:lang w:eastAsia="es-MX"/>
    </w:rPr>
  </w:style>
  <w:style w:type="paragraph" w:customStyle="1" w:styleId="xl508">
    <w:name w:val="xl508"/>
    <w:basedOn w:val="Normal"/>
    <w:rsid w:val="004D0108"/>
    <w:pPr>
      <w:spacing w:before="100" w:beforeAutospacing="1" w:after="100" w:afterAutospacing="1" w:line="240" w:lineRule="auto"/>
      <w:textAlignment w:val="top"/>
    </w:pPr>
    <w:rPr>
      <w:rFonts w:eastAsia="Times New Roman" w:cs="Times New Roman"/>
      <w:color w:val="000000"/>
      <w:lang w:eastAsia="es-MX"/>
    </w:rPr>
  </w:style>
  <w:style w:type="paragraph" w:customStyle="1" w:styleId="xl509">
    <w:name w:val="xl509"/>
    <w:basedOn w:val="Normal"/>
    <w:rsid w:val="004D0108"/>
    <w:pPr>
      <w:shd w:val="clear" w:color="000000" w:fill="FFFFFF"/>
      <w:spacing w:before="100" w:beforeAutospacing="1" w:after="100" w:afterAutospacing="1" w:line="240" w:lineRule="auto"/>
      <w:textAlignment w:val="top"/>
    </w:pPr>
    <w:rPr>
      <w:rFonts w:eastAsia="Times New Roman" w:cs="Times New Roman"/>
      <w:b/>
      <w:bCs/>
      <w:color w:val="000000"/>
      <w:lang w:eastAsia="es-MX"/>
    </w:rPr>
  </w:style>
  <w:style w:type="paragraph" w:customStyle="1" w:styleId="xl510">
    <w:name w:val="xl510"/>
    <w:basedOn w:val="Normal"/>
    <w:rsid w:val="004D0108"/>
    <w:pPr>
      <w:spacing w:before="100" w:beforeAutospacing="1" w:after="100" w:afterAutospacing="1" w:line="240" w:lineRule="auto"/>
      <w:textAlignment w:val="top"/>
    </w:pPr>
    <w:rPr>
      <w:rFonts w:eastAsia="Times New Roman" w:cs="Times New Roman"/>
      <w:lang w:eastAsia="es-MX"/>
    </w:rPr>
  </w:style>
  <w:style w:type="paragraph" w:customStyle="1" w:styleId="xl511">
    <w:name w:val="xl511"/>
    <w:basedOn w:val="Normal"/>
    <w:rsid w:val="004D0108"/>
    <w:pPr>
      <w:shd w:val="clear" w:color="000000" w:fill="FFFFFF"/>
      <w:spacing w:before="100" w:beforeAutospacing="1" w:after="100" w:afterAutospacing="1" w:line="240" w:lineRule="auto"/>
      <w:textAlignment w:val="top"/>
    </w:pPr>
    <w:rPr>
      <w:rFonts w:eastAsia="Times New Roman" w:cs="Times New Roman"/>
      <w:lang w:eastAsia="es-MX"/>
    </w:rPr>
  </w:style>
  <w:style w:type="paragraph" w:customStyle="1" w:styleId="xl512">
    <w:name w:val="xl512"/>
    <w:basedOn w:val="Normal"/>
    <w:rsid w:val="004D0108"/>
    <w:pPr>
      <w:spacing w:before="100" w:beforeAutospacing="1" w:after="100" w:afterAutospacing="1" w:line="240" w:lineRule="auto"/>
      <w:textAlignment w:val="top"/>
    </w:pPr>
    <w:rPr>
      <w:rFonts w:ascii="Times New Roman" w:eastAsia="Times New Roman" w:hAnsi="Times New Roman" w:cs="Times New Roman"/>
      <w:lang w:eastAsia="es-MX"/>
    </w:rPr>
  </w:style>
  <w:style w:type="table" w:styleId="Tablaconcuadrcula">
    <w:name w:val="Table Grid"/>
    <w:basedOn w:val="Tablanormal"/>
    <w:rsid w:val="004D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13EC"/>
    <w:pPr>
      <w:spacing w:after="200" w:line="276" w:lineRule="auto"/>
      <w:ind w:left="720"/>
      <w:contextualSpacing/>
    </w:pPr>
  </w:style>
  <w:style w:type="paragraph" w:customStyle="1" w:styleId="Default">
    <w:name w:val="Default"/>
    <w:rsid w:val="000513EC"/>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Refdecomentario">
    <w:name w:val="annotation reference"/>
    <w:basedOn w:val="Fuentedeprrafopredeter"/>
    <w:uiPriority w:val="99"/>
    <w:semiHidden/>
    <w:unhideWhenUsed/>
    <w:rsid w:val="0012305D"/>
    <w:rPr>
      <w:sz w:val="16"/>
      <w:szCs w:val="16"/>
    </w:rPr>
  </w:style>
  <w:style w:type="paragraph" w:styleId="Textocomentario">
    <w:name w:val="annotation text"/>
    <w:basedOn w:val="Normal"/>
    <w:link w:val="TextocomentarioCar"/>
    <w:uiPriority w:val="99"/>
    <w:unhideWhenUsed/>
    <w:rsid w:val="00DD2DB3"/>
    <w:pPr>
      <w:spacing w:line="240" w:lineRule="auto"/>
    </w:pPr>
    <w:rPr>
      <w:sz w:val="20"/>
      <w:szCs w:val="20"/>
    </w:rPr>
  </w:style>
  <w:style w:type="character" w:customStyle="1" w:styleId="TextocomentarioCar">
    <w:name w:val="Texto comentario Car"/>
    <w:basedOn w:val="Fuentedeprrafopredeter"/>
    <w:link w:val="Textocomentario"/>
    <w:uiPriority w:val="99"/>
    <w:rsid w:val="0012305D"/>
    <w:rPr>
      <w:sz w:val="20"/>
      <w:szCs w:val="20"/>
    </w:rPr>
  </w:style>
  <w:style w:type="paragraph" w:styleId="Asuntodelcomentario">
    <w:name w:val="annotation subject"/>
    <w:basedOn w:val="Textocomentario"/>
    <w:next w:val="Textocomentario"/>
    <w:link w:val="AsuntodelcomentarioCar"/>
    <w:uiPriority w:val="99"/>
    <w:semiHidden/>
    <w:unhideWhenUsed/>
    <w:rsid w:val="0012305D"/>
    <w:rPr>
      <w:b/>
      <w:bCs/>
    </w:rPr>
  </w:style>
  <w:style w:type="character" w:customStyle="1" w:styleId="AsuntodelcomentarioCar">
    <w:name w:val="Asunto del comentario Car"/>
    <w:basedOn w:val="TextocomentarioCar"/>
    <w:link w:val="Asuntodelcomentario"/>
    <w:uiPriority w:val="99"/>
    <w:semiHidden/>
    <w:rsid w:val="0012305D"/>
    <w:rPr>
      <w:b/>
      <w:bCs/>
      <w:sz w:val="20"/>
      <w:szCs w:val="20"/>
    </w:rPr>
  </w:style>
  <w:style w:type="paragraph" w:styleId="Textodeglobo">
    <w:name w:val="Balloon Text"/>
    <w:basedOn w:val="Normal"/>
    <w:link w:val="TextodegloboCar"/>
    <w:uiPriority w:val="99"/>
    <w:semiHidden/>
    <w:unhideWhenUsed/>
    <w:rsid w:val="0012305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05D"/>
    <w:rPr>
      <w:rFonts w:ascii="Segoe UI" w:hAnsi="Segoe UI" w:cs="Segoe UI"/>
      <w:sz w:val="18"/>
      <w:szCs w:val="18"/>
    </w:rPr>
  </w:style>
  <w:style w:type="paragraph" w:styleId="Encabezado">
    <w:name w:val="header"/>
    <w:basedOn w:val="Normal"/>
    <w:link w:val="EncabezadoCar"/>
    <w:uiPriority w:val="99"/>
    <w:unhideWhenUsed/>
    <w:rsid w:val="00A9132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329"/>
  </w:style>
  <w:style w:type="paragraph" w:styleId="Piedepgina">
    <w:name w:val="footer"/>
    <w:basedOn w:val="Normal"/>
    <w:link w:val="PiedepginaCar"/>
    <w:uiPriority w:val="99"/>
    <w:unhideWhenUsed/>
    <w:rsid w:val="00A9132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329"/>
  </w:style>
  <w:style w:type="paragraph" w:styleId="Textonotaalfinal">
    <w:name w:val="endnote text"/>
    <w:basedOn w:val="Normal"/>
    <w:link w:val="TextonotaalfinalCar"/>
    <w:uiPriority w:val="99"/>
    <w:semiHidden/>
    <w:unhideWhenUsed/>
    <w:rsid w:val="009C13EE"/>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C13EE"/>
    <w:rPr>
      <w:sz w:val="20"/>
      <w:szCs w:val="20"/>
    </w:rPr>
  </w:style>
  <w:style w:type="character" w:styleId="Refdenotaalfinal">
    <w:name w:val="endnote reference"/>
    <w:basedOn w:val="Fuentedeprrafopredeter"/>
    <w:uiPriority w:val="99"/>
    <w:semiHidden/>
    <w:unhideWhenUsed/>
    <w:rsid w:val="009C13EE"/>
    <w:rPr>
      <w:vertAlign w:val="superscript"/>
    </w:rPr>
  </w:style>
  <w:style w:type="character" w:customStyle="1" w:styleId="Ttulo1Car">
    <w:name w:val="Título 1 Car"/>
    <w:basedOn w:val="Fuentedeprrafopredeter"/>
    <w:link w:val="Ttulo1"/>
    <w:uiPriority w:val="9"/>
    <w:rsid w:val="00074AD8"/>
    <w:rPr>
      <w:rFonts w:ascii="HelveticaNeueLT Std" w:eastAsiaTheme="majorEastAsia" w:hAnsi="HelveticaNeueLT Std" w:cstheme="majorBidi"/>
      <w:b/>
      <w:sz w:val="24"/>
      <w:szCs w:val="32"/>
    </w:rPr>
  </w:style>
  <w:style w:type="character" w:customStyle="1" w:styleId="Ttulo2Car">
    <w:name w:val="Título 2 Car"/>
    <w:basedOn w:val="Fuentedeprrafopredeter"/>
    <w:link w:val="Ttulo2"/>
    <w:uiPriority w:val="9"/>
    <w:rsid w:val="007400B3"/>
    <w:rPr>
      <w:rFonts w:ascii="HelveticaNeueLT Std" w:eastAsiaTheme="majorEastAsia" w:hAnsi="HelveticaNeueLT Std" w:cstheme="majorBidi"/>
      <w:sz w:val="24"/>
      <w:szCs w:val="26"/>
    </w:rPr>
  </w:style>
  <w:style w:type="paragraph" w:styleId="Ttulo">
    <w:name w:val="Title"/>
    <w:basedOn w:val="Normal"/>
    <w:next w:val="Normal"/>
    <w:link w:val="TtuloCar"/>
    <w:uiPriority w:val="10"/>
    <w:qFormat/>
    <w:rsid w:val="007400B3"/>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400B3"/>
    <w:rPr>
      <w:rFonts w:asciiTheme="majorHAnsi" w:eastAsiaTheme="majorEastAsia" w:hAnsiTheme="majorHAnsi" w:cstheme="majorBidi"/>
      <w:spacing w:val="-10"/>
      <w:kern w:val="28"/>
      <w:sz w:val="56"/>
      <w:szCs w:val="56"/>
    </w:rPr>
  </w:style>
  <w:style w:type="paragraph" w:styleId="Revisin">
    <w:name w:val="Revision"/>
    <w:hidden/>
    <w:uiPriority w:val="99"/>
    <w:semiHidden/>
    <w:rsid w:val="004953A7"/>
    <w:pPr>
      <w:spacing w:after="0" w:line="240" w:lineRule="auto"/>
    </w:pPr>
    <w:rPr>
      <w:rFonts w:ascii="HelveticaNeueLT Std" w:hAnsi="HelveticaNeueLT Std"/>
      <w:sz w:val="24"/>
      <w:szCs w:val="24"/>
    </w:rPr>
  </w:style>
  <w:style w:type="paragraph" w:styleId="Textonotapie">
    <w:name w:val="footnote text"/>
    <w:basedOn w:val="Normal"/>
    <w:link w:val="TextonotapieCar"/>
    <w:uiPriority w:val="99"/>
    <w:semiHidden/>
    <w:unhideWhenUsed/>
    <w:rsid w:val="006966C7"/>
    <w:pPr>
      <w:spacing w:line="240" w:lineRule="auto"/>
    </w:pPr>
    <w:rPr>
      <w:sz w:val="20"/>
      <w:szCs w:val="20"/>
    </w:rPr>
  </w:style>
  <w:style w:type="character" w:customStyle="1" w:styleId="TextonotapieCar">
    <w:name w:val="Texto nota pie Car"/>
    <w:basedOn w:val="Fuentedeprrafopredeter"/>
    <w:link w:val="Textonotapie"/>
    <w:uiPriority w:val="99"/>
    <w:semiHidden/>
    <w:rsid w:val="006966C7"/>
    <w:rPr>
      <w:rFonts w:ascii="HelveticaNeueLT Std" w:hAnsi="HelveticaNeueLT Std"/>
      <w:sz w:val="20"/>
      <w:szCs w:val="20"/>
    </w:rPr>
  </w:style>
  <w:style w:type="character" w:styleId="Refdenotaalpie">
    <w:name w:val="footnote reference"/>
    <w:basedOn w:val="Fuentedeprrafopredeter"/>
    <w:uiPriority w:val="99"/>
    <w:semiHidden/>
    <w:unhideWhenUsed/>
    <w:rsid w:val="006966C7"/>
    <w:rPr>
      <w:vertAlign w:val="superscript"/>
    </w:rPr>
  </w:style>
  <w:style w:type="paragraph" w:customStyle="1" w:styleId="xl91">
    <w:name w:val="xl91"/>
    <w:basedOn w:val="Normal"/>
    <w:rsid w:val="00EC001D"/>
    <w:pPr>
      <w:spacing w:before="100" w:beforeAutospacing="1" w:after="100" w:afterAutospacing="1" w:line="240" w:lineRule="auto"/>
      <w:jc w:val="left"/>
      <w:textAlignment w:val="top"/>
    </w:pPr>
    <w:rPr>
      <w:rFonts w:eastAsia="Times New Roman" w:cs="Times New Roman"/>
      <w:lang w:eastAsia="es-MX"/>
    </w:rPr>
  </w:style>
  <w:style w:type="paragraph" w:customStyle="1" w:styleId="xl92">
    <w:name w:val="xl92"/>
    <w:basedOn w:val="Normal"/>
    <w:rsid w:val="00EC001D"/>
    <w:pPr>
      <w:shd w:val="clear" w:color="000000" w:fill="FFFFFF"/>
      <w:spacing w:before="100" w:beforeAutospacing="1" w:after="100" w:afterAutospacing="1" w:line="240" w:lineRule="auto"/>
      <w:jc w:val="left"/>
      <w:textAlignment w:val="top"/>
    </w:pPr>
    <w:rPr>
      <w:rFonts w:eastAsia="Times New Roman" w:cs="Times New Roman"/>
      <w:lang w:eastAsia="es-MX"/>
    </w:rPr>
  </w:style>
  <w:style w:type="paragraph" w:customStyle="1" w:styleId="xl93">
    <w:name w:val="xl93"/>
    <w:basedOn w:val="Normal"/>
    <w:rsid w:val="00EC001D"/>
    <w:pPr>
      <w:spacing w:before="100" w:beforeAutospacing="1" w:after="100" w:afterAutospacing="1" w:line="240" w:lineRule="auto"/>
      <w:jc w:val="left"/>
      <w:textAlignment w:val="top"/>
    </w:pPr>
    <w:rPr>
      <w:rFonts w:eastAsia="Times New Roman" w:cs="Times New Roman"/>
      <w:lang w:eastAsia="es-MX"/>
    </w:rPr>
  </w:style>
  <w:style w:type="paragraph" w:customStyle="1" w:styleId="xl94">
    <w:name w:val="xl94"/>
    <w:basedOn w:val="Normal"/>
    <w:rsid w:val="00EC001D"/>
    <w:pPr>
      <w:shd w:val="clear" w:color="000000" w:fill="FFFFFF"/>
      <w:spacing w:before="100" w:beforeAutospacing="1" w:after="100" w:afterAutospacing="1" w:line="240" w:lineRule="auto"/>
      <w:jc w:val="right"/>
      <w:textAlignment w:val="top"/>
    </w:pPr>
    <w:rPr>
      <w:rFonts w:eastAsia="Times New Roman" w:cs="Times New Roman"/>
      <w:b/>
      <w:bCs/>
      <w:lang w:eastAsia="es-MX"/>
    </w:rPr>
  </w:style>
  <w:style w:type="paragraph" w:customStyle="1" w:styleId="xl95">
    <w:name w:val="xl95"/>
    <w:basedOn w:val="Normal"/>
    <w:rsid w:val="00EC001D"/>
    <w:pPr>
      <w:shd w:val="clear" w:color="000000" w:fill="FFFFFF"/>
      <w:spacing w:before="100" w:beforeAutospacing="1" w:after="100" w:afterAutospacing="1" w:line="240" w:lineRule="auto"/>
      <w:jc w:val="left"/>
      <w:textAlignment w:val="top"/>
    </w:pPr>
    <w:rPr>
      <w:rFonts w:eastAsia="Times New Roman" w:cs="Times New Roman"/>
      <w:b/>
      <w:bCs/>
      <w:lang w:eastAsia="es-MX"/>
    </w:rPr>
  </w:style>
  <w:style w:type="paragraph" w:customStyle="1" w:styleId="xl96">
    <w:name w:val="xl96"/>
    <w:basedOn w:val="Normal"/>
    <w:rsid w:val="00EC001D"/>
    <w:pPr>
      <w:shd w:val="clear" w:color="000000" w:fill="FFFFFF"/>
      <w:spacing w:before="100" w:beforeAutospacing="1" w:after="100" w:afterAutospacing="1" w:line="240" w:lineRule="auto"/>
      <w:jc w:val="left"/>
      <w:textAlignment w:val="top"/>
    </w:pPr>
    <w:rPr>
      <w:rFonts w:eastAsia="Times New Roman" w:cs="Times New Roman"/>
      <w:b/>
      <w:bCs/>
      <w:color w:val="000000"/>
      <w:lang w:eastAsia="es-MX"/>
    </w:rPr>
  </w:style>
  <w:style w:type="paragraph" w:customStyle="1" w:styleId="xl97">
    <w:name w:val="xl97"/>
    <w:basedOn w:val="Normal"/>
    <w:rsid w:val="00EC001D"/>
    <w:pPr>
      <w:spacing w:before="100" w:beforeAutospacing="1" w:after="100" w:afterAutospacing="1" w:line="240" w:lineRule="auto"/>
      <w:jc w:val="left"/>
      <w:textAlignment w:val="top"/>
    </w:pPr>
    <w:rPr>
      <w:rFonts w:eastAsia="Times New Roman" w:cs="Times New Roman"/>
      <w:b/>
      <w:bCs/>
      <w:lang w:eastAsia="es-MX"/>
    </w:rPr>
  </w:style>
  <w:style w:type="paragraph" w:customStyle="1" w:styleId="xl98">
    <w:name w:val="xl98"/>
    <w:basedOn w:val="Normal"/>
    <w:rsid w:val="00EC001D"/>
    <w:pPr>
      <w:spacing w:before="100" w:beforeAutospacing="1" w:after="100" w:afterAutospacing="1" w:line="240" w:lineRule="auto"/>
      <w:jc w:val="left"/>
      <w:textAlignment w:val="top"/>
    </w:pPr>
    <w:rPr>
      <w:rFonts w:eastAsia="Times New Roman" w:cs="Times New Roman"/>
      <w:color w:val="FF0000"/>
      <w:lang w:eastAsia="es-MX"/>
    </w:rPr>
  </w:style>
  <w:style w:type="paragraph" w:customStyle="1" w:styleId="xl99">
    <w:name w:val="xl99"/>
    <w:basedOn w:val="Normal"/>
    <w:rsid w:val="00EC001D"/>
    <w:pPr>
      <w:shd w:val="clear" w:color="000000" w:fill="FFFFFF"/>
      <w:spacing w:before="100" w:beforeAutospacing="1" w:after="100" w:afterAutospacing="1" w:line="240" w:lineRule="auto"/>
      <w:jc w:val="left"/>
      <w:textAlignment w:val="top"/>
    </w:pPr>
    <w:rPr>
      <w:rFonts w:eastAsia="Times New Roman" w:cs="Times New Roman"/>
      <w:color w:val="000000"/>
      <w:lang w:eastAsia="es-MX"/>
    </w:rPr>
  </w:style>
  <w:style w:type="paragraph" w:customStyle="1" w:styleId="xl100">
    <w:name w:val="xl100"/>
    <w:basedOn w:val="Normal"/>
    <w:rsid w:val="00EC001D"/>
    <w:pPr>
      <w:shd w:val="clear" w:color="000000" w:fill="FFFFFF"/>
      <w:spacing w:before="100" w:beforeAutospacing="1" w:after="100" w:afterAutospacing="1" w:line="240" w:lineRule="auto"/>
      <w:jc w:val="left"/>
      <w:textAlignment w:val="top"/>
    </w:pPr>
    <w:rPr>
      <w:rFonts w:eastAsia="Times New Roman" w:cs="Times New Roman"/>
      <w:lang w:eastAsia="es-MX"/>
    </w:rPr>
  </w:style>
  <w:style w:type="paragraph" w:customStyle="1" w:styleId="xl101">
    <w:name w:val="xl101"/>
    <w:basedOn w:val="Normal"/>
    <w:rsid w:val="00EC001D"/>
    <w:pPr>
      <w:shd w:val="clear" w:color="000000" w:fill="FFFFFF"/>
      <w:spacing w:before="100" w:beforeAutospacing="1" w:after="100" w:afterAutospacing="1" w:line="240" w:lineRule="auto"/>
      <w:ind w:firstLineChars="200" w:firstLine="200"/>
      <w:jc w:val="left"/>
      <w:textAlignment w:val="top"/>
    </w:pPr>
    <w:rPr>
      <w:rFonts w:ascii="Arial" w:eastAsia="Times New Roman" w:hAnsi="Arial" w:cs="Arial"/>
      <w:lang w:eastAsia="es-MX"/>
    </w:rPr>
  </w:style>
  <w:style w:type="paragraph" w:customStyle="1" w:styleId="xl102">
    <w:name w:val="xl102"/>
    <w:basedOn w:val="Normal"/>
    <w:rsid w:val="00EC001D"/>
    <w:pPr>
      <w:shd w:val="clear" w:color="000000" w:fill="FFFFFF"/>
      <w:spacing w:before="100" w:beforeAutospacing="1" w:after="100" w:afterAutospacing="1" w:line="240" w:lineRule="auto"/>
      <w:jc w:val="left"/>
      <w:textAlignment w:val="top"/>
    </w:pPr>
    <w:rPr>
      <w:rFonts w:eastAsia="Times New Roman" w:cs="Times New Roman"/>
      <w:color w:val="000000"/>
      <w:lang w:eastAsia="es-MX"/>
    </w:rPr>
  </w:style>
  <w:style w:type="paragraph" w:customStyle="1" w:styleId="xl103">
    <w:name w:val="xl103"/>
    <w:basedOn w:val="Normal"/>
    <w:rsid w:val="00EC001D"/>
    <w:pPr>
      <w:shd w:val="clear" w:color="000000" w:fill="FFFFFF"/>
      <w:spacing w:before="100" w:beforeAutospacing="1" w:after="100" w:afterAutospacing="1" w:line="240" w:lineRule="auto"/>
      <w:jc w:val="left"/>
    </w:pPr>
    <w:rPr>
      <w:rFonts w:ascii="Times New Roman" w:eastAsia="Times New Roman" w:hAnsi="Times New Roman" w:cs="Times New Roman"/>
      <w:lang w:eastAsia="es-MX"/>
    </w:rPr>
  </w:style>
  <w:style w:type="paragraph" w:customStyle="1" w:styleId="xl104">
    <w:name w:val="xl104"/>
    <w:basedOn w:val="Normal"/>
    <w:rsid w:val="00EC001D"/>
    <w:pPr>
      <w:shd w:val="clear" w:color="000000" w:fill="FFFFFF"/>
      <w:spacing w:before="100" w:beforeAutospacing="1" w:after="100" w:afterAutospacing="1" w:line="240" w:lineRule="auto"/>
      <w:jc w:val="left"/>
      <w:textAlignment w:val="top"/>
    </w:pPr>
    <w:rPr>
      <w:rFonts w:eastAsia="Times New Roman" w:cs="Times New Roman"/>
      <w:lang w:eastAsia="es-MX"/>
    </w:rPr>
  </w:style>
  <w:style w:type="paragraph" w:customStyle="1" w:styleId="xl105">
    <w:name w:val="xl105"/>
    <w:basedOn w:val="Normal"/>
    <w:rsid w:val="00EC001D"/>
    <w:pPr>
      <w:shd w:val="clear" w:color="000000" w:fill="FFFFFF"/>
      <w:spacing w:before="100" w:beforeAutospacing="1" w:after="100" w:afterAutospacing="1" w:line="240" w:lineRule="auto"/>
      <w:textAlignment w:val="top"/>
    </w:pPr>
    <w:rPr>
      <w:rFonts w:eastAsia="Times New Roman" w:cs="Times New Roman"/>
      <w:color w:val="000000"/>
      <w:lang w:eastAsia="es-MX"/>
    </w:rPr>
  </w:style>
  <w:style w:type="paragraph" w:customStyle="1" w:styleId="xl106">
    <w:name w:val="xl106"/>
    <w:basedOn w:val="Normal"/>
    <w:rsid w:val="00EC001D"/>
    <w:pPr>
      <w:shd w:val="clear" w:color="000000" w:fill="FFFFFF"/>
      <w:spacing w:before="100" w:beforeAutospacing="1" w:after="100" w:afterAutospacing="1" w:line="240" w:lineRule="auto"/>
      <w:textAlignment w:val="top"/>
    </w:pPr>
    <w:rPr>
      <w:rFonts w:eastAsia="Times New Roman" w:cs="Times New Roman"/>
      <w:lang w:eastAsia="es-MX"/>
    </w:rPr>
  </w:style>
  <w:style w:type="paragraph" w:customStyle="1" w:styleId="xl107">
    <w:name w:val="xl107"/>
    <w:basedOn w:val="Normal"/>
    <w:rsid w:val="00EC001D"/>
    <w:pPr>
      <w:shd w:val="clear" w:color="000000" w:fill="FFFFFF"/>
      <w:spacing w:before="100" w:beforeAutospacing="1" w:after="100" w:afterAutospacing="1" w:line="240" w:lineRule="auto"/>
      <w:jc w:val="left"/>
      <w:textAlignment w:val="center"/>
    </w:pPr>
    <w:rPr>
      <w:rFonts w:eastAsia="Times New Roman" w:cs="Times New Roman"/>
      <w:lang w:eastAsia="es-MX"/>
    </w:rPr>
  </w:style>
  <w:style w:type="paragraph" w:customStyle="1" w:styleId="xl108">
    <w:name w:val="xl108"/>
    <w:basedOn w:val="Normal"/>
    <w:rsid w:val="00EC001D"/>
    <w:pPr>
      <w:shd w:val="clear" w:color="000000" w:fill="FFFFFF"/>
      <w:spacing w:before="100" w:beforeAutospacing="1" w:after="100" w:afterAutospacing="1" w:line="240" w:lineRule="auto"/>
      <w:textAlignment w:val="top"/>
    </w:pPr>
    <w:rPr>
      <w:rFonts w:eastAsia="Times New Roman" w:cs="Times New Roman"/>
      <w:b/>
      <w:bCs/>
      <w:color w:val="000000"/>
      <w:lang w:eastAsia="es-MX"/>
    </w:rPr>
  </w:style>
  <w:style w:type="paragraph" w:customStyle="1" w:styleId="xl109">
    <w:name w:val="xl109"/>
    <w:basedOn w:val="Normal"/>
    <w:rsid w:val="00EC001D"/>
    <w:pPr>
      <w:shd w:val="clear" w:color="000000" w:fill="FFFFFF"/>
      <w:spacing w:before="100" w:beforeAutospacing="1" w:after="100" w:afterAutospacing="1" w:line="240" w:lineRule="auto"/>
      <w:textAlignment w:val="top"/>
    </w:pPr>
    <w:rPr>
      <w:rFonts w:ascii="Times New Roman" w:eastAsia="Times New Roman" w:hAnsi="Times New Roman" w:cs="Times New Roman"/>
      <w:lang w:eastAsia="es-MX"/>
    </w:rPr>
  </w:style>
  <w:style w:type="paragraph" w:customStyle="1" w:styleId="xl110">
    <w:name w:val="xl110"/>
    <w:basedOn w:val="Normal"/>
    <w:rsid w:val="00EC001D"/>
    <w:pPr>
      <w:shd w:val="clear" w:color="000000" w:fill="FFFFFF"/>
      <w:spacing w:before="100" w:beforeAutospacing="1" w:after="100" w:afterAutospacing="1" w:line="240" w:lineRule="auto"/>
      <w:textAlignment w:val="top"/>
    </w:pPr>
    <w:rPr>
      <w:rFonts w:eastAsia="Times New Roman" w:cs="Times New Roman"/>
      <w:color w:val="000000"/>
      <w:lang w:eastAsia="es-MX"/>
    </w:rPr>
  </w:style>
  <w:style w:type="character" w:styleId="nfasis">
    <w:name w:val="Emphasis"/>
    <w:basedOn w:val="Fuentedeprrafopredeter"/>
    <w:uiPriority w:val="20"/>
    <w:qFormat/>
    <w:rsid w:val="00122641"/>
    <w:rPr>
      <w:i/>
      <w:iCs/>
    </w:rPr>
  </w:style>
  <w:style w:type="character" w:customStyle="1" w:styleId="Ttulo3Car">
    <w:name w:val="Título 3 Car"/>
    <w:basedOn w:val="Fuentedeprrafopredeter"/>
    <w:link w:val="Ttulo3"/>
    <w:uiPriority w:val="9"/>
    <w:rsid w:val="006732B9"/>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0A2864"/>
    <w:rPr>
      <w:color w:val="605E5C"/>
      <w:shd w:val="clear" w:color="auto" w:fill="E1DFDD"/>
    </w:rPr>
  </w:style>
  <w:style w:type="character" w:customStyle="1" w:styleId="Mencinsinresolver2">
    <w:name w:val="Mención sin resolver2"/>
    <w:basedOn w:val="Fuentedeprrafopredeter"/>
    <w:uiPriority w:val="99"/>
    <w:rsid w:val="00DC4821"/>
    <w:rPr>
      <w:color w:val="605E5C"/>
      <w:shd w:val="clear" w:color="auto" w:fill="E1DFDD"/>
    </w:rPr>
  </w:style>
  <w:style w:type="character" w:customStyle="1" w:styleId="Mencinsinresolver3">
    <w:name w:val="Mención sin resolver3"/>
    <w:basedOn w:val="Fuentedeprrafopredeter"/>
    <w:uiPriority w:val="99"/>
    <w:rsid w:val="00694BD1"/>
    <w:rPr>
      <w:color w:val="605E5C"/>
      <w:shd w:val="clear" w:color="auto" w:fill="E1DFDD"/>
    </w:rPr>
  </w:style>
  <w:style w:type="paragraph" w:customStyle="1" w:styleId="xl67">
    <w:name w:val="xl67"/>
    <w:basedOn w:val="Normal"/>
    <w:rsid w:val="002B1A02"/>
    <w:pPr>
      <w:shd w:val="clear" w:color="000000" w:fill="FFFFFF"/>
      <w:spacing w:before="100" w:beforeAutospacing="1" w:after="100" w:afterAutospacing="1" w:line="240" w:lineRule="auto"/>
      <w:jc w:val="left"/>
      <w:textAlignment w:val="top"/>
    </w:pPr>
    <w:rPr>
      <w:rFonts w:eastAsia="Times New Roman" w:cs="Times New Roman"/>
      <w:sz w:val="20"/>
      <w:szCs w:val="20"/>
      <w:lang w:eastAsia="es-MX"/>
    </w:rPr>
  </w:style>
  <w:style w:type="paragraph" w:customStyle="1" w:styleId="xl68">
    <w:name w:val="xl68"/>
    <w:basedOn w:val="Normal"/>
    <w:rsid w:val="002B1A02"/>
    <w:pPr>
      <w:shd w:val="clear" w:color="000000" w:fill="FFFFFF"/>
      <w:spacing w:before="100" w:beforeAutospacing="1" w:after="100" w:afterAutospacing="1" w:line="240" w:lineRule="auto"/>
      <w:jc w:val="left"/>
      <w:textAlignment w:val="top"/>
    </w:pPr>
    <w:rPr>
      <w:rFonts w:eastAsia="Times New Roman" w:cs="Times New Roman"/>
      <w:sz w:val="20"/>
      <w:szCs w:val="20"/>
      <w:lang w:eastAsia="es-MX"/>
    </w:rPr>
  </w:style>
  <w:style w:type="paragraph" w:customStyle="1" w:styleId="xl69">
    <w:name w:val="xl69"/>
    <w:basedOn w:val="Normal"/>
    <w:rsid w:val="002B1A02"/>
    <w:pPr>
      <w:spacing w:before="100" w:beforeAutospacing="1" w:after="100" w:afterAutospacing="1" w:line="240" w:lineRule="auto"/>
      <w:jc w:val="left"/>
      <w:textAlignment w:val="top"/>
    </w:pPr>
    <w:rPr>
      <w:rFonts w:eastAsia="Times New Roman" w:cs="Times New Roman"/>
      <w:sz w:val="20"/>
      <w:szCs w:val="20"/>
      <w:lang w:eastAsia="es-MX"/>
    </w:rPr>
  </w:style>
  <w:style w:type="paragraph" w:customStyle="1" w:styleId="xl70">
    <w:name w:val="xl70"/>
    <w:basedOn w:val="Normal"/>
    <w:rsid w:val="002B1A02"/>
    <w:pPr>
      <w:shd w:val="clear" w:color="000000" w:fill="FFFFFF"/>
      <w:spacing w:before="100" w:beforeAutospacing="1" w:after="100" w:afterAutospacing="1" w:line="240" w:lineRule="auto"/>
      <w:jc w:val="left"/>
      <w:textAlignment w:val="top"/>
    </w:pPr>
    <w:rPr>
      <w:rFonts w:eastAsia="Times New Roman" w:cs="Times New Roman"/>
      <w:b/>
      <w:bCs/>
      <w:sz w:val="20"/>
      <w:szCs w:val="20"/>
      <w:lang w:eastAsia="es-MX"/>
    </w:rPr>
  </w:style>
  <w:style w:type="paragraph" w:customStyle="1" w:styleId="xl71">
    <w:name w:val="xl71"/>
    <w:basedOn w:val="Normal"/>
    <w:rsid w:val="002B1A02"/>
    <w:pPr>
      <w:shd w:val="clear" w:color="000000" w:fill="FFFFFF"/>
      <w:spacing w:before="100" w:beforeAutospacing="1" w:after="100" w:afterAutospacing="1" w:line="240" w:lineRule="auto"/>
      <w:jc w:val="left"/>
      <w:textAlignment w:val="top"/>
    </w:pPr>
    <w:rPr>
      <w:rFonts w:eastAsia="Times New Roman" w:cs="Times New Roman"/>
      <w:sz w:val="20"/>
      <w:szCs w:val="20"/>
      <w:lang w:eastAsia="es-MX"/>
    </w:rPr>
  </w:style>
  <w:style w:type="paragraph" w:customStyle="1" w:styleId="xl72">
    <w:name w:val="xl72"/>
    <w:basedOn w:val="Normal"/>
    <w:rsid w:val="002B1A02"/>
    <w:pPr>
      <w:spacing w:before="100" w:beforeAutospacing="1" w:after="100" w:afterAutospacing="1" w:line="240" w:lineRule="auto"/>
      <w:jc w:val="left"/>
      <w:textAlignment w:val="top"/>
    </w:pPr>
    <w:rPr>
      <w:rFonts w:eastAsia="Times New Roman" w:cs="Times New Roman"/>
      <w:sz w:val="20"/>
      <w:szCs w:val="20"/>
      <w:lang w:eastAsia="es-MX"/>
    </w:rPr>
  </w:style>
  <w:style w:type="paragraph" w:customStyle="1" w:styleId="xl73">
    <w:name w:val="xl73"/>
    <w:basedOn w:val="Normal"/>
    <w:rsid w:val="002B1A02"/>
    <w:pPr>
      <w:shd w:val="clear" w:color="000000" w:fill="FFFFFF"/>
      <w:spacing w:before="100" w:beforeAutospacing="1" w:after="100" w:afterAutospacing="1" w:line="240" w:lineRule="auto"/>
      <w:jc w:val="right"/>
      <w:textAlignment w:val="top"/>
    </w:pPr>
    <w:rPr>
      <w:rFonts w:eastAsia="Times New Roman" w:cs="Times New Roman"/>
      <w:b/>
      <w:bCs/>
      <w:sz w:val="20"/>
      <w:szCs w:val="20"/>
      <w:lang w:eastAsia="es-MX"/>
    </w:rPr>
  </w:style>
  <w:style w:type="paragraph" w:customStyle="1" w:styleId="xl74">
    <w:name w:val="xl74"/>
    <w:basedOn w:val="Normal"/>
    <w:rsid w:val="002B1A02"/>
    <w:pPr>
      <w:spacing w:before="100" w:beforeAutospacing="1" w:after="100" w:afterAutospacing="1" w:line="240" w:lineRule="auto"/>
      <w:jc w:val="left"/>
    </w:pPr>
    <w:rPr>
      <w:rFonts w:ascii="Arial" w:eastAsia="Times New Roman" w:hAnsi="Arial" w:cs="Arial"/>
      <w:sz w:val="20"/>
      <w:szCs w:val="20"/>
      <w:lang w:eastAsia="es-MX"/>
    </w:rPr>
  </w:style>
  <w:style w:type="paragraph" w:customStyle="1" w:styleId="xl75">
    <w:name w:val="xl75"/>
    <w:basedOn w:val="Normal"/>
    <w:rsid w:val="002B1A02"/>
    <w:pPr>
      <w:shd w:val="clear" w:color="000000" w:fill="FFFFFF"/>
      <w:spacing w:before="100" w:beforeAutospacing="1" w:after="100" w:afterAutospacing="1" w:line="240" w:lineRule="auto"/>
      <w:textAlignment w:val="top"/>
    </w:pPr>
    <w:rPr>
      <w:rFonts w:eastAsia="Times New Roman" w:cs="Times New Roman"/>
      <w:b/>
      <w:bCs/>
      <w:color w:val="000000"/>
      <w:sz w:val="20"/>
      <w:szCs w:val="20"/>
      <w:lang w:eastAsia="es-MX"/>
    </w:rPr>
  </w:style>
  <w:style w:type="paragraph" w:customStyle="1" w:styleId="xl76">
    <w:name w:val="xl76"/>
    <w:basedOn w:val="Normal"/>
    <w:rsid w:val="002B1A02"/>
    <w:pPr>
      <w:shd w:val="clear" w:color="000000" w:fill="FFFFFF"/>
      <w:spacing w:before="100" w:beforeAutospacing="1" w:after="100" w:afterAutospacing="1" w:line="240" w:lineRule="auto"/>
      <w:jc w:val="left"/>
      <w:textAlignment w:val="top"/>
    </w:pPr>
    <w:rPr>
      <w:rFonts w:eastAsia="Times New Roman" w:cs="Times New Roman"/>
      <w:b/>
      <w:bCs/>
      <w:color w:val="000000"/>
      <w:sz w:val="20"/>
      <w:szCs w:val="20"/>
      <w:lang w:eastAsia="es-MX"/>
    </w:rPr>
  </w:style>
  <w:style w:type="paragraph" w:customStyle="1" w:styleId="xl77">
    <w:name w:val="xl77"/>
    <w:basedOn w:val="Normal"/>
    <w:rsid w:val="002B1A02"/>
    <w:pPr>
      <w:spacing w:before="100" w:beforeAutospacing="1" w:after="100" w:afterAutospacing="1" w:line="240" w:lineRule="auto"/>
      <w:jc w:val="left"/>
      <w:textAlignment w:val="top"/>
    </w:pPr>
    <w:rPr>
      <w:rFonts w:eastAsia="Times New Roman" w:cs="Times New Roman"/>
      <w:b/>
      <w:bCs/>
      <w:sz w:val="20"/>
      <w:szCs w:val="20"/>
      <w:lang w:eastAsia="es-MX"/>
    </w:rPr>
  </w:style>
  <w:style w:type="paragraph" w:customStyle="1" w:styleId="xl78">
    <w:name w:val="xl78"/>
    <w:basedOn w:val="Normal"/>
    <w:rsid w:val="002B1A02"/>
    <w:pPr>
      <w:shd w:val="clear" w:color="000000" w:fill="FFFFFF"/>
      <w:spacing w:before="100" w:beforeAutospacing="1" w:after="100" w:afterAutospacing="1" w:line="240" w:lineRule="auto"/>
      <w:textAlignment w:val="top"/>
    </w:pPr>
    <w:rPr>
      <w:rFonts w:eastAsia="Times New Roman" w:cs="Times New Roman"/>
      <w:color w:val="000000"/>
      <w:sz w:val="20"/>
      <w:szCs w:val="20"/>
      <w:lang w:eastAsia="es-MX"/>
    </w:rPr>
  </w:style>
  <w:style w:type="paragraph" w:customStyle="1" w:styleId="xl79">
    <w:name w:val="xl79"/>
    <w:basedOn w:val="Normal"/>
    <w:rsid w:val="002B1A02"/>
    <w:pPr>
      <w:shd w:val="clear" w:color="000000" w:fill="FFFFFF"/>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80">
    <w:name w:val="xl80"/>
    <w:basedOn w:val="Normal"/>
    <w:rsid w:val="002B1A02"/>
    <w:pPr>
      <w:shd w:val="clear" w:color="000000" w:fill="FFFFFF"/>
      <w:spacing w:before="100" w:beforeAutospacing="1" w:after="100" w:afterAutospacing="1" w:line="240" w:lineRule="auto"/>
      <w:jc w:val="left"/>
      <w:textAlignment w:val="top"/>
    </w:pPr>
    <w:rPr>
      <w:rFonts w:eastAsia="Times New Roman" w:cs="Times New Roman"/>
      <w:color w:val="000000"/>
      <w:sz w:val="20"/>
      <w:szCs w:val="20"/>
      <w:lang w:eastAsia="es-MX"/>
    </w:rPr>
  </w:style>
  <w:style w:type="paragraph" w:customStyle="1" w:styleId="xl81">
    <w:name w:val="xl81"/>
    <w:basedOn w:val="Normal"/>
    <w:rsid w:val="002B1A02"/>
    <w:pPr>
      <w:shd w:val="clear" w:color="000000" w:fill="FFFFFF"/>
      <w:spacing w:before="100" w:beforeAutospacing="1" w:after="100" w:afterAutospacing="1" w:line="240" w:lineRule="auto"/>
      <w:jc w:val="left"/>
      <w:textAlignment w:val="top"/>
    </w:pPr>
    <w:rPr>
      <w:rFonts w:eastAsia="Times New Roman" w:cs="Times New Roman"/>
      <w:color w:val="000000"/>
      <w:sz w:val="20"/>
      <w:szCs w:val="20"/>
      <w:lang w:eastAsia="es-MX"/>
    </w:rPr>
  </w:style>
  <w:style w:type="paragraph" w:customStyle="1" w:styleId="xl82">
    <w:name w:val="xl82"/>
    <w:basedOn w:val="Normal"/>
    <w:rsid w:val="002B1A02"/>
    <w:pPr>
      <w:shd w:val="clear" w:color="000000" w:fill="FFFFFF"/>
      <w:spacing w:before="100" w:beforeAutospacing="1" w:after="100" w:afterAutospacing="1" w:line="240" w:lineRule="auto"/>
      <w:textAlignment w:val="top"/>
    </w:pPr>
    <w:rPr>
      <w:rFonts w:eastAsia="Times New Roman" w:cs="Times New Roman"/>
      <w:color w:val="000000"/>
      <w:sz w:val="20"/>
      <w:szCs w:val="20"/>
      <w:lang w:eastAsia="es-MX"/>
    </w:rPr>
  </w:style>
  <w:style w:type="paragraph" w:customStyle="1" w:styleId="xl83">
    <w:name w:val="xl83"/>
    <w:basedOn w:val="Normal"/>
    <w:rsid w:val="002B1A02"/>
    <w:pPr>
      <w:shd w:val="clear" w:color="000000" w:fill="FFFFFF"/>
      <w:spacing w:before="100" w:beforeAutospacing="1" w:after="100" w:afterAutospacing="1" w:line="240" w:lineRule="auto"/>
      <w:jc w:val="left"/>
      <w:textAlignment w:val="top"/>
    </w:pPr>
    <w:rPr>
      <w:rFonts w:eastAsia="Times New Roman" w:cs="Times New Roman"/>
      <w:color w:val="000000"/>
      <w:sz w:val="20"/>
      <w:szCs w:val="20"/>
      <w:lang w:eastAsia="es-MX"/>
    </w:rPr>
  </w:style>
  <w:style w:type="paragraph" w:customStyle="1" w:styleId="xl84">
    <w:name w:val="xl84"/>
    <w:basedOn w:val="Normal"/>
    <w:rsid w:val="002B1A02"/>
    <w:pPr>
      <w:spacing w:before="100" w:beforeAutospacing="1" w:after="100" w:afterAutospacing="1" w:line="240" w:lineRule="auto"/>
      <w:jc w:val="left"/>
      <w:textAlignment w:val="top"/>
    </w:pPr>
    <w:rPr>
      <w:rFonts w:eastAsia="Times New Roman" w:cs="Times New Roman"/>
      <w:color w:val="FF0000"/>
      <w:sz w:val="20"/>
      <w:szCs w:val="20"/>
      <w:lang w:eastAsia="es-MX"/>
    </w:rPr>
  </w:style>
  <w:style w:type="paragraph" w:customStyle="1" w:styleId="xl85">
    <w:name w:val="xl85"/>
    <w:basedOn w:val="Normal"/>
    <w:rsid w:val="002B1A02"/>
    <w:pPr>
      <w:shd w:val="clear" w:color="000000" w:fill="FFFFFF"/>
      <w:spacing w:before="100" w:beforeAutospacing="1" w:after="100" w:afterAutospacing="1" w:line="240" w:lineRule="auto"/>
      <w:jc w:val="right"/>
      <w:textAlignment w:val="top"/>
    </w:pPr>
    <w:rPr>
      <w:rFonts w:eastAsia="Times New Roman" w:cs="Times New Roman"/>
      <w:sz w:val="20"/>
      <w:szCs w:val="20"/>
      <w:lang w:eastAsia="es-MX"/>
    </w:rPr>
  </w:style>
  <w:style w:type="paragraph" w:customStyle="1" w:styleId="xl86">
    <w:name w:val="xl86"/>
    <w:basedOn w:val="Normal"/>
    <w:rsid w:val="002B1A02"/>
    <w:pPr>
      <w:shd w:val="clear" w:color="000000" w:fill="FFFFFF"/>
      <w:spacing w:before="100" w:beforeAutospacing="1" w:after="100" w:afterAutospacing="1" w:line="240" w:lineRule="auto"/>
      <w:jc w:val="left"/>
      <w:textAlignment w:val="center"/>
    </w:pPr>
    <w:rPr>
      <w:rFonts w:eastAsia="Times New Roman" w:cs="Times New Roman"/>
      <w:sz w:val="20"/>
      <w:szCs w:val="20"/>
      <w:lang w:eastAsia="es-MX"/>
    </w:rPr>
  </w:style>
  <w:style w:type="paragraph" w:customStyle="1" w:styleId="xl87">
    <w:name w:val="xl87"/>
    <w:basedOn w:val="Normal"/>
    <w:rsid w:val="002B1A02"/>
    <w:pPr>
      <w:shd w:val="clear" w:color="000000" w:fill="FFFFFF"/>
      <w:spacing w:before="100" w:beforeAutospacing="1" w:after="100" w:afterAutospacing="1" w:line="240" w:lineRule="auto"/>
      <w:ind w:firstLineChars="200" w:firstLine="200"/>
      <w:jc w:val="left"/>
      <w:textAlignment w:val="top"/>
    </w:pPr>
    <w:rPr>
      <w:rFonts w:ascii="Arial" w:eastAsia="Times New Roman" w:hAnsi="Arial" w:cs="Arial"/>
      <w:sz w:val="20"/>
      <w:szCs w:val="20"/>
      <w:lang w:eastAsia="es-MX"/>
    </w:rPr>
  </w:style>
  <w:style w:type="paragraph" w:customStyle="1" w:styleId="xl88">
    <w:name w:val="xl88"/>
    <w:basedOn w:val="Normal"/>
    <w:rsid w:val="002B1A02"/>
    <w:pPr>
      <w:shd w:val="clear" w:color="000000" w:fill="FFFFFF"/>
      <w:spacing w:before="100" w:beforeAutospacing="1" w:after="100" w:afterAutospacing="1" w:line="240" w:lineRule="auto"/>
      <w:textAlignment w:val="top"/>
    </w:pPr>
    <w:rPr>
      <w:rFonts w:eastAsia="Times New Roman" w:cs="Times New Roman"/>
      <w:sz w:val="20"/>
      <w:szCs w:val="20"/>
      <w:lang w:eastAsia="es-MX"/>
    </w:rPr>
  </w:style>
  <w:style w:type="paragraph" w:customStyle="1" w:styleId="xl89">
    <w:name w:val="xl89"/>
    <w:basedOn w:val="Normal"/>
    <w:rsid w:val="002B1A02"/>
    <w:pPr>
      <w:shd w:val="clear" w:color="000000" w:fill="FFFFFF"/>
      <w:spacing w:before="100" w:beforeAutospacing="1" w:after="100" w:afterAutospacing="1" w:line="240" w:lineRule="auto"/>
      <w:jc w:val="left"/>
    </w:pPr>
    <w:rPr>
      <w:rFonts w:ascii="Arial" w:eastAsia="Times New Roman" w:hAnsi="Arial"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0793">
      <w:bodyDiv w:val="1"/>
      <w:marLeft w:val="0"/>
      <w:marRight w:val="0"/>
      <w:marTop w:val="0"/>
      <w:marBottom w:val="0"/>
      <w:divBdr>
        <w:top w:val="none" w:sz="0" w:space="0" w:color="auto"/>
        <w:left w:val="none" w:sz="0" w:space="0" w:color="auto"/>
        <w:bottom w:val="none" w:sz="0" w:space="0" w:color="auto"/>
        <w:right w:val="none" w:sz="0" w:space="0" w:color="auto"/>
      </w:divBdr>
    </w:div>
    <w:div w:id="290478916">
      <w:bodyDiv w:val="1"/>
      <w:marLeft w:val="0"/>
      <w:marRight w:val="0"/>
      <w:marTop w:val="0"/>
      <w:marBottom w:val="0"/>
      <w:divBdr>
        <w:top w:val="none" w:sz="0" w:space="0" w:color="auto"/>
        <w:left w:val="none" w:sz="0" w:space="0" w:color="auto"/>
        <w:bottom w:val="none" w:sz="0" w:space="0" w:color="auto"/>
        <w:right w:val="none" w:sz="0" w:space="0" w:color="auto"/>
      </w:divBdr>
    </w:div>
    <w:div w:id="364334827">
      <w:bodyDiv w:val="1"/>
      <w:marLeft w:val="0"/>
      <w:marRight w:val="0"/>
      <w:marTop w:val="0"/>
      <w:marBottom w:val="0"/>
      <w:divBdr>
        <w:top w:val="none" w:sz="0" w:space="0" w:color="auto"/>
        <w:left w:val="none" w:sz="0" w:space="0" w:color="auto"/>
        <w:bottom w:val="none" w:sz="0" w:space="0" w:color="auto"/>
        <w:right w:val="none" w:sz="0" w:space="0" w:color="auto"/>
      </w:divBdr>
    </w:div>
    <w:div w:id="624777615">
      <w:bodyDiv w:val="1"/>
      <w:marLeft w:val="0"/>
      <w:marRight w:val="0"/>
      <w:marTop w:val="0"/>
      <w:marBottom w:val="0"/>
      <w:divBdr>
        <w:top w:val="none" w:sz="0" w:space="0" w:color="auto"/>
        <w:left w:val="none" w:sz="0" w:space="0" w:color="auto"/>
        <w:bottom w:val="none" w:sz="0" w:space="0" w:color="auto"/>
        <w:right w:val="none" w:sz="0" w:space="0" w:color="auto"/>
      </w:divBdr>
    </w:div>
    <w:div w:id="642974596">
      <w:bodyDiv w:val="1"/>
      <w:marLeft w:val="0"/>
      <w:marRight w:val="0"/>
      <w:marTop w:val="0"/>
      <w:marBottom w:val="0"/>
      <w:divBdr>
        <w:top w:val="none" w:sz="0" w:space="0" w:color="auto"/>
        <w:left w:val="none" w:sz="0" w:space="0" w:color="auto"/>
        <w:bottom w:val="none" w:sz="0" w:space="0" w:color="auto"/>
        <w:right w:val="none" w:sz="0" w:space="0" w:color="auto"/>
      </w:divBdr>
    </w:div>
    <w:div w:id="754981145">
      <w:bodyDiv w:val="1"/>
      <w:marLeft w:val="0"/>
      <w:marRight w:val="0"/>
      <w:marTop w:val="0"/>
      <w:marBottom w:val="0"/>
      <w:divBdr>
        <w:top w:val="none" w:sz="0" w:space="0" w:color="auto"/>
        <w:left w:val="none" w:sz="0" w:space="0" w:color="auto"/>
        <w:bottom w:val="none" w:sz="0" w:space="0" w:color="auto"/>
        <w:right w:val="none" w:sz="0" w:space="0" w:color="auto"/>
      </w:divBdr>
    </w:div>
    <w:div w:id="850338254">
      <w:bodyDiv w:val="1"/>
      <w:marLeft w:val="0"/>
      <w:marRight w:val="0"/>
      <w:marTop w:val="0"/>
      <w:marBottom w:val="0"/>
      <w:divBdr>
        <w:top w:val="none" w:sz="0" w:space="0" w:color="auto"/>
        <w:left w:val="none" w:sz="0" w:space="0" w:color="auto"/>
        <w:bottom w:val="none" w:sz="0" w:space="0" w:color="auto"/>
        <w:right w:val="none" w:sz="0" w:space="0" w:color="auto"/>
      </w:divBdr>
    </w:div>
    <w:div w:id="883491889">
      <w:bodyDiv w:val="1"/>
      <w:marLeft w:val="0"/>
      <w:marRight w:val="0"/>
      <w:marTop w:val="0"/>
      <w:marBottom w:val="0"/>
      <w:divBdr>
        <w:top w:val="none" w:sz="0" w:space="0" w:color="auto"/>
        <w:left w:val="none" w:sz="0" w:space="0" w:color="auto"/>
        <w:bottom w:val="none" w:sz="0" w:space="0" w:color="auto"/>
        <w:right w:val="none" w:sz="0" w:space="0" w:color="auto"/>
      </w:divBdr>
    </w:div>
    <w:div w:id="884023032">
      <w:bodyDiv w:val="1"/>
      <w:marLeft w:val="0"/>
      <w:marRight w:val="0"/>
      <w:marTop w:val="0"/>
      <w:marBottom w:val="0"/>
      <w:divBdr>
        <w:top w:val="none" w:sz="0" w:space="0" w:color="auto"/>
        <w:left w:val="none" w:sz="0" w:space="0" w:color="auto"/>
        <w:bottom w:val="none" w:sz="0" w:space="0" w:color="auto"/>
        <w:right w:val="none" w:sz="0" w:space="0" w:color="auto"/>
      </w:divBdr>
    </w:div>
    <w:div w:id="887650460">
      <w:bodyDiv w:val="1"/>
      <w:marLeft w:val="0"/>
      <w:marRight w:val="0"/>
      <w:marTop w:val="0"/>
      <w:marBottom w:val="0"/>
      <w:divBdr>
        <w:top w:val="none" w:sz="0" w:space="0" w:color="auto"/>
        <w:left w:val="none" w:sz="0" w:space="0" w:color="auto"/>
        <w:bottom w:val="none" w:sz="0" w:space="0" w:color="auto"/>
        <w:right w:val="none" w:sz="0" w:space="0" w:color="auto"/>
      </w:divBdr>
    </w:div>
    <w:div w:id="908540202">
      <w:bodyDiv w:val="1"/>
      <w:marLeft w:val="0"/>
      <w:marRight w:val="0"/>
      <w:marTop w:val="0"/>
      <w:marBottom w:val="0"/>
      <w:divBdr>
        <w:top w:val="none" w:sz="0" w:space="0" w:color="auto"/>
        <w:left w:val="none" w:sz="0" w:space="0" w:color="auto"/>
        <w:bottom w:val="none" w:sz="0" w:space="0" w:color="auto"/>
        <w:right w:val="none" w:sz="0" w:space="0" w:color="auto"/>
      </w:divBdr>
    </w:div>
    <w:div w:id="996419308">
      <w:bodyDiv w:val="1"/>
      <w:marLeft w:val="0"/>
      <w:marRight w:val="0"/>
      <w:marTop w:val="0"/>
      <w:marBottom w:val="0"/>
      <w:divBdr>
        <w:top w:val="none" w:sz="0" w:space="0" w:color="auto"/>
        <w:left w:val="none" w:sz="0" w:space="0" w:color="auto"/>
        <w:bottom w:val="none" w:sz="0" w:space="0" w:color="auto"/>
        <w:right w:val="none" w:sz="0" w:space="0" w:color="auto"/>
      </w:divBdr>
    </w:div>
    <w:div w:id="1086851964">
      <w:bodyDiv w:val="1"/>
      <w:marLeft w:val="0"/>
      <w:marRight w:val="0"/>
      <w:marTop w:val="0"/>
      <w:marBottom w:val="0"/>
      <w:divBdr>
        <w:top w:val="none" w:sz="0" w:space="0" w:color="auto"/>
        <w:left w:val="none" w:sz="0" w:space="0" w:color="auto"/>
        <w:bottom w:val="none" w:sz="0" w:space="0" w:color="auto"/>
        <w:right w:val="none" w:sz="0" w:space="0" w:color="auto"/>
      </w:divBdr>
    </w:div>
    <w:div w:id="1091437389">
      <w:bodyDiv w:val="1"/>
      <w:marLeft w:val="0"/>
      <w:marRight w:val="0"/>
      <w:marTop w:val="0"/>
      <w:marBottom w:val="0"/>
      <w:divBdr>
        <w:top w:val="none" w:sz="0" w:space="0" w:color="auto"/>
        <w:left w:val="none" w:sz="0" w:space="0" w:color="auto"/>
        <w:bottom w:val="none" w:sz="0" w:space="0" w:color="auto"/>
        <w:right w:val="none" w:sz="0" w:space="0" w:color="auto"/>
      </w:divBdr>
    </w:div>
    <w:div w:id="1289162109">
      <w:bodyDiv w:val="1"/>
      <w:marLeft w:val="0"/>
      <w:marRight w:val="0"/>
      <w:marTop w:val="0"/>
      <w:marBottom w:val="0"/>
      <w:divBdr>
        <w:top w:val="none" w:sz="0" w:space="0" w:color="auto"/>
        <w:left w:val="none" w:sz="0" w:space="0" w:color="auto"/>
        <w:bottom w:val="none" w:sz="0" w:space="0" w:color="auto"/>
        <w:right w:val="none" w:sz="0" w:space="0" w:color="auto"/>
      </w:divBdr>
    </w:div>
    <w:div w:id="1360205957">
      <w:bodyDiv w:val="1"/>
      <w:marLeft w:val="0"/>
      <w:marRight w:val="0"/>
      <w:marTop w:val="0"/>
      <w:marBottom w:val="0"/>
      <w:divBdr>
        <w:top w:val="none" w:sz="0" w:space="0" w:color="auto"/>
        <w:left w:val="none" w:sz="0" w:space="0" w:color="auto"/>
        <w:bottom w:val="none" w:sz="0" w:space="0" w:color="auto"/>
        <w:right w:val="none" w:sz="0" w:space="0" w:color="auto"/>
      </w:divBdr>
    </w:div>
    <w:div w:id="1380974860">
      <w:bodyDiv w:val="1"/>
      <w:marLeft w:val="0"/>
      <w:marRight w:val="0"/>
      <w:marTop w:val="0"/>
      <w:marBottom w:val="0"/>
      <w:divBdr>
        <w:top w:val="none" w:sz="0" w:space="0" w:color="auto"/>
        <w:left w:val="none" w:sz="0" w:space="0" w:color="auto"/>
        <w:bottom w:val="none" w:sz="0" w:space="0" w:color="auto"/>
        <w:right w:val="none" w:sz="0" w:space="0" w:color="auto"/>
      </w:divBdr>
    </w:div>
    <w:div w:id="1484547633">
      <w:bodyDiv w:val="1"/>
      <w:marLeft w:val="0"/>
      <w:marRight w:val="0"/>
      <w:marTop w:val="0"/>
      <w:marBottom w:val="0"/>
      <w:divBdr>
        <w:top w:val="none" w:sz="0" w:space="0" w:color="auto"/>
        <w:left w:val="none" w:sz="0" w:space="0" w:color="auto"/>
        <w:bottom w:val="none" w:sz="0" w:space="0" w:color="auto"/>
        <w:right w:val="none" w:sz="0" w:space="0" w:color="auto"/>
      </w:divBdr>
    </w:div>
    <w:div w:id="1830973178">
      <w:bodyDiv w:val="1"/>
      <w:marLeft w:val="0"/>
      <w:marRight w:val="0"/>
      <w:marTop w:val="0"/>
      <w:marBottom w:val="0"/>
      <w:divBdr>
        <w:top w:val="none" w:sz="0" w:space="0" w:color="auto"/>
        <w:left w:val="none" w:sz="0" w:space="0" w:color="auto"/>
        <w:bottom w:val="none" w:sz="0" w:space="0" w:color="auto"/>
        <w:right w:val="none" w:sz="0" w:space="0" w:color="auto"/>
      </w:divBdr>
    </w:div>
    <w:div w:id="1949389657">
      <w:bodyDiv w:val="1"/>
      <w:marLeft w:val="0"/>
      <w:marRight w:val="0"/>
      <w:marTop w:val="0"/>
      <w:marBottom w:val="0"/>
      <w:divBdr>
        <w:top w:val="none" w:sz="0" w:space="0" w:color="auto"/>
        <w:left w:val="none" w:sz="0" w:space="0" w:color="auto"/>
        <w:bottom w:val="none" w:sz="0" w:space="0" w:color="auto"/>
        <w:right w:val="none" w:sz="0" w:space="0" w:color="auto"/>
      </w:divBdr>
    </w:div>
    <w:div w:id="205600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4DD8-8351-4E82-8B21-E52B8033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43</Pages>
  <Words>16384</Words>
  <Characters>90116</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Hernández</dc:creator>
  <cp:lastModifiedBy>Juan Antonio Martinez</cp:lastModifiedBy>
  <cp:revision>84</cp:revision>
  <cp:lastPrinted>2022-11-17T00:23:00Z</cp:lastPrinted>
  <dcterms:created xsi:type="dcterms:W3CDTF">2022-11-15T17:50:00Z</dcterms:created>
  <dcterms:modified xsi:type="dcterms:W3CDTF">2022-11-17T00:26:00Z</dcterms:modified>
</cp:coreProperties>
</file>