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1DC4" w:rsidRDefault="001C1DC4" w:rsidP="001C1DC4">
      <w:pPr>
        <w:pStyle w:val="Sinespaciado"/>
        <w:jc w:val="right"/>
        <w:rPr>
          <w:rFonts w:ascii="Arial" w:hAnsi="Arial" w:cs="Arial"/>
          <w:b/>
          <w:lang w:val="es-ES"/>
        </w:rPr>
      </w:pPr>
      <w:bookmarkStart w:id="0" w:name="_Hlk85342040"/>
    </w:p>
    <w:p w:rsidR="001C1DC4" w:rsidRPr="00F92DC6" w:rsidRDefault="001C1DC4" w:rsidP="001C1DC4">
      <w:pPr>
        <w:pStyle w:val="Sinespaciado"/>
        <w:jc w:val="right"/>
        <w:rPr>
          <w:rFonts w:ascii="Arial" w:hAnsi="Arial" w:cs="Arial"/>
          <w:b/>
          <w:lang w:val="es-ES"/>
        </w:rPr>
      </w:pPr>
      <w:r w:rsidRPr="00F92DC6">
        <w:rPr>
          <w:rFonts w:ascii="Arial" w:hAnsi="Arial" w:cs="Arial"/>
          <w:b/>
          <w:lang w:val="es-ES"/>
        </w:rPr>
        <w:t xml:space="preserve">Toluca de Lerdo, Capital del Estado de México, </w:t>
      </w:r>
    </w:p>
    <w:p w:rsidR="001C1DC4" w:rsidRPr="00F92DC6" w:rsidRDefault="005F40B5" w:rsidP="001C1DC4">
      <w:pPr>
        <w:pStyle w:val="Sinespaciado"/>
        <w:jc w:val="right"/>
        <w:rPr>
          <w:rFonts w:ascii="Arial" w:hAnsi="Arial" w:cs="Arial"/>
          <w:b/>
          <w:lang w:val="es-ES"/>
        </w:rPr>
      </w:pPr>
      <w:r>
        <w:rPr>
          <w:rFonts w:ascii="Arial" w:hAnsi="Arial" w:cs="Arial"/>
          <w:b/>
          <w:lang w:val="es-ES"/>
        </w:rPr>
        <w:t>12</w:t>
      </w:r>
      <w:r w:rsidR="001C1DC4">
        <w:rPr>
          <w:rFonts w:ascii="Arial" w:hAnsi="Arial" w:cs="Arial"/>
          <w:b/>
          <w:lang w:val="es-ES"/>
        </w:rPr>
        <w:t xml:space="preserve"> de marzo del 2025</w:t>
      </w:r>
      <w:r w:rsidR="001C1DC4" w:rsidRPr="00F92DC6">
        <w:rPr>
          <w:rFonts w:ascii="Arial" w:hAnsi="Arial" w:cs="Arial"/>
          <w:b/>
          <w:lang w:val="es-ES"/>
        </w:rPr>
        <w:t>.</w:t>
      </w:r>
    </w:p>
    <w:p w:rsidR="001C1DC4" w:rsidRPr="002401D4" w:rsidRDefault="001C1DC4" w:rsidP="001C1DC4">
      <w:pPr>
        <w:spacing w:line="360" w:lineRule="auto"/>
        <w:jc w:val="right"/>
        <w:rPr>
          <w:rFonts w:ascii="Arial" w:hAnsi="Arial" w:cs="Arial"/>
          <w:b/>
          <w:lang w:val="es-ES"/>
        </w:rPr>
      </w:pPr>
    </w:p>
    <w:p w:rsidR="001C1DC4" w:rsidRPr="00F92DC6" w:rsidRDefault="001C1DC4" w:rsidP="001C1DC4">
      <w:pPr>
        <w:pStyle w:val="Sinespaciado"/>
        <w:rPr>
          <w:rFonts w:ascii="Arial" w:hAnsi="Arial" w:cs="Arial"/>
          <w:b/>
          <w:sz w:val="24"/>
        </w:rPr>
      </w:pPr>
      <w:r w:rsidRPr="00F92DC6">
        <w:rPr>
          <w:rFonts w:ascii="Arial" w:hAnsi="Arial" w:cs="Arial"/>
          <w:b/>
          <w:sz w:val="24"/>
        </w:rPr>
        <w:t>DIPUTAD</w:t>
      </w:r>
      <w:r>
        <w:rPr>
          <w:rFonts w:ascii="Arial" w:hAnsi="Arial" w:cs="Arial"/>
          <w:b/>
          <w:sz w:val="24"/>
        </w:rPr>
        <w:t xml:space="preserve">O </w:t>
      </w:r>
      <w:r w:rsidRPr="00DF50DC">
        <w:rPr>
          <w:rFonts w:ascii="Arial" w:hAnsi="Arial" w:cs="Arial"/>
          <w:b/>
          <w:bCs/>
          <w:sz w:val="24"/>
        </w:rPr>
        <w:t>MAURILIO HERNÁNDEZ GONZÁLEZ</w:t>
      </w:r>
    </w:p>
    <w:p w:rsidR="001C1DC4" w:rsidRDefault="001C1DC4" w:rsidP="001C1DC4">
      <w:pPr>
        <w:pStyle w:val="Sinespaciado"/>
        <w:rPr>
          <w:rFonts w:ascii="Arial" w:hAnsi="Arial" w:cs="Arial"/>
          <w:b/>
          <w:sz w:val="24"/>
        </w:rPr>
      </w:pPr>
      <w:r w:rsidRPr="00F92DC6">
        <w:rPr>
          <w:rFonts w:ascii="Arial" w:hAnsi="Arial" w:cs="Arial"/>
          <w:b/>
          <w:sz w:val="24"/>
        </w:rPr>
        <w:t>PRESIDENT</w:t>
      </w:r>
      <w:r>
        <w:rPr>
          <w:rFonts w:ascii="Arial" w:hAnsi="Arial" w:cs="Arial"/>
          <w:b/>
          <w:sz w:val="24"/>
        </w:rPr>
        <w:t>E</w:t>
      </w:r>
      <w:r w:rsidRPr="00F92DC6">
        <w:rPr>
          <w:rFonts w:ascii="Arial" w:hAnsi="Arial" w:cs="Arial"/>
          <w:b/>
          <w:sz w:val="24"/>
        </w:rPr>
        <w:t xml:space="preserve"> DE LA MESA DIRECTIVA</w:t>
      </w:r>
      <w:r>
        <w:rPr>
          <w:rFonts w:ascii="Arial" w:hAnsi="Arial" w:cs="Arial"/>
          <w:b/>
          <w:sz w:val="24"/>
        </w:rPr>
        <w:t xml:space="preserve"> </w:t>
      </w:r>
      <w:r w:rsidRPr="00F92DC6">
        <w:rPr>
          <w:rFonts w:ascii="Arial" w:hAnsi="Arial" w:cs="Arial"/>
          <w:b/>
          <w:sz w:val="24"/>
        </w:rPr>
        <w:t>DE LA</w:t>
      </w:r>
    </w:p>
    <w:p w:rsidR="001C1DC4" w:rsidRPr="006F57BB" w:rsidRDefault="001C1DC4" w:rsidP="001C1DC4">
      <w:pPr>
        <w:pStyle w:val="Sinespaciado"/>
        <w:rPr>
          <w:rFonts w:ascii="Arial" w:hAnsi="Arial" w:cs="Arial"/>
          <w:b/>
          <w:sz w:val="24"/>
        </w:rPr>
      </w:pPr>
      <w:r w:rsidRPr="00F92DC6">
        <w:rPr>
          <w:rFonts w:ascii="Arial" w:hAnsi="Arial" w:cs="Arial"/>
          <w:b/>
          <w:sz w:val="24"/>
        </w:rPr>
        <w:t>LX</w:t>
      </w:r>
      <w:r>
        <w:rPr>
          <w:rFonts w:ascii="Arial" w:hAnsi="Arial" w:cs="Arial"/>
          <w:b/>
          <w:sz w:val="24"/>
        </w:rPr>
        <w:t>II</w:t>
      </w:r>
      <w:r w:rsidRPr="00F92DC6">
        <w:rPr>
          <w:rFonts w:ascii="Arial" w:hAnsi="Arial" w:cs="Arial"/>
          <w:b/>
          <w:sz w:val="24"/>
        </w:rPr>
        <w:t xml:space="preserve"> LEGISLATURA DEL ESTADO LIBRE</w:t>
      </w:r>
      <w:r>
        <w:rPr>
          <w:rFonts w:ascii="Arial" w:hAnsi="Arial" w:cs="Arial"/>
          <w:b/>
          <w:sz w:val="24"/>
        </w:rPr>
        <w:t xml:space="preserve"> </w:t>
      </w:r>
      <w:r w:rsidRPr="006F57BB">
        <w:rPr>
          <w:rFonts w:ascii="Arial" w:hAnsi="Arial" w:cs="Arial"/>
          <w:b/>
          <w:sz w:val="24"/>
        </w:rPr>
        <w:t>Y</w:t>
      </w:r>
    </w:p>
    <w:p w:rsidR="001C1DC4" w:rsidRPr="001F362C" w:rsidRDefault="001C1DC4" w:rsidP="001C1DC4">
      <w:pPr>
        <w:pStyle w:val="Sinespaciado"/>
        <w:rPr>
          <w:rFonts w:ascii="Arial" w:hAnsi="Arial" w:cs="Arial"/>
          <w:b/>
          <w:sz w:val="24"/>
          <w:lang w:val="pt-BR"/>
        </w:rPr>
      </w:pPr>
      <w:r w:rsidRPr="001F362C">
        <w:rPr>
          <w:rFonts w:ascii="Arial" w:hAnsi="Arial" w:cs="Arial"/>
          <w:b/>
          <w:sz w:val="24"/>
          <w:lang w:val="pt-BR"/>
        </w:rPr>
        <w:t>SOBERANO DE MÉXICO</w:t>
      </w:r>
    </w:p>
    <w:p w:rsidR="001C1DC4" w:rsidRDefault="001C1DC4" w:rsidP="001C1DC4">
      <w:pPr>
        <w:pStyle w:val="Sinespaciado"/>
        <w:rPr>
          <w:rFonts w:ascii="Arial" w:hAnsi="Arial" w:cs="Arial"/>
          <w:b/>
          <w:sz w:val="24"/>
          <w:lang w:val="pt-BR"/>
        </w:rPr>
      </w:pPr>
      <w:r w:rsidRPr="001F362C">
        <w:rPr>
          <w:rFonts w:ascii="Arial" w:hAnsi="Arial" w:cs="Arial"/>
          <w:b/>
          <w:sz w:val="24"/>
          <w:lang w:val="pt-BR"/>
        </w:rPr>
        <w:t>P R E S E N T E.</w:t>
      </w:r>
    </w:p>
    <w:p w:rsidR="001C1DC4" w:rsidRPr="00B5257F" w:rsidRDefault="001C1DC4" w:rsidP="001C1DC4">
      <w:pPr>
        <w:pStyle w:val="NormalWeb"/>
        <w:shd w:val="clear" w:color="auto" w:fill="FFFFFF"/>
        <w:spacing w:line="360" w:lineRule="auto"/>
        <w:jc w:val="both"/>
        <w:rPr>
          <w:rFonts w:ascii="Arial" w:hAnsi="Arial" w:cs="Arial"/>
          <w:b/>
          <w:bCs/>
          <w:color w:val="000000"/>
          <w:shd w:val="clear" w:color="auto" w:fill="FFFFFF"/>
        </w:rPr>
      </w:pPr>
      <w:bookmarkStart w:id="1" w:name="_Hlk177980751"/>
      <w:r>
        <w:rPr>
          <w:rFonts w:ascii="Arial" w:hAnsi="Arial" w:cs="Arial"/>
          <w:color w:val="000000"/>
          <w:shd w:val="clear" w:color="auto" w:fill="FFFFFF"/>
        </w:rPr>
        <w:t>Quienes suscriben</w:t>
      </w:r>
      <w:r w:rsidRPr="005B324F">
        <w:rPr>
          <w:rFonts w:ascii="Arial" w:hAnsi="Arial" w:cs="Arial"/>
          <w:color w:val="000000"/>
          <w:shd w:val="clear" w:color="auto" w:fill="FFFFFF"/>
        </w:rPr>
        <w:t xml:space="preserve">, </w:t>
      </w:r>
      <w:r>
        <w:rPr>
          <w:rFonts w:ascii="Arial" w:hAnsi="Arial" w:cs="Arial"/>
          <w:color w:val="000000"/>
          <w:shd w:val="clear" w:color="auto" w:fill="FFFFFF"/>
        </w:rPr>
        <w:t>Diputados</w:t>
      </w:r>
      <w:r w:rsidRPr="00F92DC6">
        <w:rPr>
          <w:rFonts w:ascii="Arial" w:hAnsi="Arial" w:cs="Arial"/>
          <w:color w:val="000000"/>
          <w:shd w:val="clear" w:color="auto" w:fill="FFFFFF"/>
        </w:rPr>
        <w:t xml:space="preserve"> </w:t>
      </w:r>
      <w:r w:rsidRPr="009C584B">
        <w:rPr>
          <w:rFonts w:ascii="Arial" w:hAnsi="Arial" w:cs="Arial"/>
          <w:b/>
          <w:bCs/>
          <w:lang w:val="es-ES"/>
        </w:rPr>
        <w:t xml:space="preserve">Krishna </w:t>
      </w:r>
      <w:r>
        <w:rPr>
          <w:rFonts w:ascii="Arial" w:hAnsi="Arial" w:cs="Arial"/>
          <w:b/>
          <w:bCs/>
          <w:lang w:val="es-ES"/>
        </w:rPr>
        <w:t xml:space="preserve">Karina </w:t>
      </w:r>
      <w:r w:rsidRPr="009C584B">
        <w:rPr>
          <w:rFonts w:ascii="Arial" w:hAnsi="Arial" w:cs="Arial"/>
          <w:b/>
          <w:bCs/>
          <w:lang w:val="es-ES"/>
        </w:rPr>
        <w:t>Romero Velázquez</w:t>
      </w:r>
      <w:bookmarkEnd w:id="1"/>
      <w:r>
        <w:rPr>
          <w:rFonts w:ascii="Arial" w:hAnsi="Arial" w:cs="Arial"/>
          <w:b/>
          <w:bCs/>
          <w:lang w:val="es-ES"/>
        </w:rPr>
        <w:t xml:space="preserve"> y </w:t>
      </w:r>
      <w:r w:rsidRPr="00907838">
        <w:rPr>
          <w:rFonts w:ascii="Arial" w:hAnsi="Arial" w:cs="Arial"/>
          <w:b/>
          <w:bCs/>
          <w:lang w:val="es-ES"/>
        </w:rPr>
        <w:t>Pablo Fernández de Cevallos González</w:t>
      </w:r>
      <w:r>
        <w:rPr>
          <w:rFonts w:ascii="Arial" w:hAnsi="Arial" w:cs="Arial"/>
          <w:color w:val="000000"/>
          <w:shd w:val="clear" w:color="auto" w:fill="FFFFFF"/>
        </w:rPr>
        <w:t xml:space="preserve">, a nombre </w:t>
      </w:r>
      <w:r w:rsidRPr="00F92DC6">
        <w:rPr>
          <w:rFonts w:ascii="Arial" w:hAnsi="Arial" w:cs="Arial"/>
          <w:color w:val="000000"/>
          <w:shd w:val="clear" w:color="auto" w:fill="FFFFFF"/>
        </w:rPr>
        <w:t>del Grupo Parlamentario del Partido Acción Nacional de la LXI</w:t>
      </w:r>
      <w:r>
        <w:rPr>
          <w:rFonts w:ascii="Arial" w:hAnsi="Arial" w:cs="Arial"/>
          <w:color w:val="000000"/>
          <w:shd w:val="clear" w:color="auto" w:fill="FFFFFF"/>
        </w:rPr>
        <w:t>I</w:t>
      </w:r>
      <w:r w:rsidRPr="00F92DC6">
        <w:rPr>
          <w:rFonts w:ascii="Arial" w:hAnsi="Arial" w:cs="Arial"/>
          <w:color w:val="000000"/>
          <w:shd w:val="clear" w:color="auto" w:fill="FFFFFF"/>
        </w:rPr>
        <w:t xml:space="preserve"> Legislatura; con</w:t>
      </w:r>
      <w:r>
        <w:rPr>
          <w:rFonts w:ascii="Arial" w:hAnsi="Arial" w:cs="Arial"/>
          <w:color w:val="000000"/>
          <w:shd w:val="clear" w:color="auto" w:fill="FFFFFF"/>
        </w:rPr>
        <w:t xml:space="preserve"> fundamento</w:t>
      </w:r>
      <w:r w:rsidRPr="00F92DC6">
        <w:rPr>
          <w:rFonts w:ascii="Arial" w:hAnsi="Arial" w:cs="Arial"/>
          <w:color w:val="000000"/>
          <w:shd w:val="clear" w:color="auto" w:fill="FFFFFF"/>
        </w:rPr>
        <w:t xml:space="preserve"> en lo dispuesto por los artículos 116 de la Constitución Política de los Estados Unidos Mexicanos; 51 fracción II, 57, 61 fracción I y demás relativos aplicables de la Constitución Política del Estado Libre y Soberano de México; 28 fracción I, 30 y demás aplicables de la Ley Orgánica del Poder Legislativo del Estado Libre y Soberano de </w:t>
      </w:r>
      <w:r w:rsidRPr="00661033">
        <w:rPr>
          <w:rFonts w:ascii="Arial" w:hAnsi="Arial" w:cs="Arial"/>
          <w:color w:val="000000"/>
          <w:shd w:val="clear" w:color="auto" w:fill="FFFFFF"/>
        </w:rPr>
        <w:t>México</w:t>
      </w:r>
      <w:r>
        <w:rPr>
          <w:rFonts w:ascii="Arial" w:hAnsi="Arial" w:cs="Arial"/>
          <w:color w:val="000000"/>
          <w:shd w:val="clear" w:color="auto" w:fill="FFFFFF"/>
        </w:rPr>
        <w:t>,</w:t>
      </w:r>
      <w:r w:rsidRPr="00661033">
        <w:rPr>
          <w:rFonts w:ascii="Arial" w:hAnsi="Arial" w:cs="Arial"/>
          <w:color w:val="000000"/>
          <w:shd w:val="clear" w:color="auto" w:fill="FFFFFF"/>
        </w:rPr>
        <w:t xml:space="preserve"> así como</w:t>
      </w:r>
      <w:r>
        <w:rPr>
          <w:rFonts w:ascii="Arial" w:hAnsi="Arial" w:cs="Arial"/>
          <w:color w:val="000000"/>
          <w:shd w:val="clear" w:color="auto" w:fill="FFFFFF"/>
        </w:rPr>
        <w:t xml:space="preserve"> de</w:t>
      </w:r>
      <w:r w:rsidRPr="00F92DC6">
        <w:rPr>
          <w:rFonts w:ascii="Arial" w:hAnsi="Arial" w:cs="Arial"/>
          <w:color w:val="000000"/>
          <w:shd w:val="clear" w:color="auto" w:fill="FFFFFF"/>
        </w:rPr>
        <w:t xml:space="preserve"> los artículo 68 y 70 del Reglamento del Poder Legislativo</w:t>
      </w:r>
      <w:r>
        <w:rPr>
          <w:rFonts w:ascii="Arial" w:hAnsi="Arial" w:cs="Arial"/>
          <w:color w:val="000000"/>
          <w:shd w:val="clear" w:color="auto" w:fill="FFFFFF"/>
        </w:rPr>
        <w:t xml:space="preserve"> del Estado de México; sometemos</w:t>
      </w:r>
      <w:r w:rsidRPr="00F92DC6">
        <w:rPr>
          <w:rFonts w:ascii="Arial" w:hAnsi="Arial" w:cs="Arial"/>
          <w:color w:val="000000"/>
          <w:shd w:val="clear" w:color="auto" w:fill="FFFFFF"/>
        </w:rPr>
        <w:t xml:space="preserve"> a la consideración de esta soberanía la siguiente, </w:t>
      </w:r>
      <w:r w:rsidRPr="00F92DC6">
        <w:rPr>
          <w:rFonts w:ascii="Arial" w:hAnsi="Arial" w:cs="Arial"/>
          <w:b/>
          <w:color w:val="000000"/>
          <w:shd w:val="clear" w:color="auto" w:fill="FFFFFF"/>
        </w:rPr>
        <w:t xml:space="preserve">Iniciativa con Proyecto de Decreto </w:t>
      </w:r>
      <w:r w:rsidR="00D02778" w:rsidRPr="00D02778">
        <w:rPr>
          <w:rFonts w:ascii="Arial" w:hAnsi="Arial" w:cs="Arial"/>
          <w:b/>
          <w:color w:val="000000"/>
          <w:shd w:val="clear" w:color="auto" w:fill="FFFFFF"/>
        </w:rPr>
        <w:t xml:space="preserve">por el que </w:t>
      </w:r>
      <w:r w:rsidR="004B1081">
        <w:rPr>
          <w:rFonts w:ascii="Arial" w:hAnsi="Arial" w:cs="Arial"/>
          <w:b/>
          <w:bCs/>
          <w:color w:val="000000"/>
          <w:shd w:val="clear" w:color="auto" w:fill="FFFFFF"/>
        </w:rPr>
        <w:t>s</w:t>
      </w:r>
      <w:r w:rsidR="004B1081" w:rsidRPr="004B1081">
        <w:rPr>
          <w:rFonts w:ascii="Arial" w:hAnsi="Arial" w:cs="Arial"/>
          <w:b/>
          <w:bCs/>
          <w:color w:val="000000"/>
          <w:shd w:val="clear" w:color="auto" w:fill="FFFFFF"/>
        </w:rPr>
        <w:t>e reforma el segundo párrafo y se adicionan un tercer párrafo del inciso b, de la fracción III del Artículo 15 y un artículo 67 Bis del Código Penal del Estado de México</w:t>
      </w:r>
      <w:r w:rsidR="004B1081" w:rsidRPr="004B1081">
        <w:rPr>
          <w:rFonts w:ascii="Arial" w:hAnsi="Arial" w:cs="Arial"/>
          <w:b/>
          <w:color w:val="000000"/>
          <w:shd w:val="clear" w:color="auto" w:fill="FFFFFF"/>
        </w:rPr>
        <w:t>,</w:t>
      </w:r>
      <w:r w:rsidR="004E4F5F">
        <w:rPr>
          <w:rFonts w:ascii="Arial" w:hAnsi="Arial" w:cs="Arial"/>
          <w:b/>
          <w:color w:val="000000"/>
          <w:shd w:val="clear" w:color="auto" w:fill="FFFFFF"/>
        </w:rPr>
        <w:t xml:space="preserve"> </w:t>
      </w:r>
      <w:r w:rsidR="004E4F5F" w:rsidRPr="004E4F5F">
        <w:rPr>
          <w:rFonts w:ascii="Arial" w:hAnsi="Arial" w:cs="Arial"/>
          <w:b/>
          <w:color w:val="000000"/>
          <w:shd w:val="clear" w:color="auto" w:fill="FFFFFF"/>
        </w:rPr>
        <w:t>para proteger a las mujeres que actúen en legítima defensa cuando sean víctimas de violencia</w:t>
      </w:r>
      <w:r w:rsidR="004E4F5F">
        <w:rPr>
          <w:rFonts w:ascii="Arial" w:hAnsi="Arial" w:cs="Arial"/>
          <w:b/>
          <w:color w:val="000000"/>
          <w:shd w:val="clear" w:color="auto" w:fill="FFFFFF"/>
        </w:rPr>
        <w:t>,</w:t>
      </w:r>
      <w:r w:rsidRPr="00481354">
        <w:rPr>
          <w:rFonts w:ascii="Arial" w:hAnsi="Arial" w:cs="Arial"/>
          <w:color w:val="000000"/>
          <w:shd w:val="clear" w:color="auto" w:fill="FFFFFF"/>
        </w:rPr>
        <w:t xml:space="preserve"> con sustento en la siguiente:</w:t>
      </w:r>
    </w:p>
    <w:p w:rsidR="001C1DC4" w:rsidRDefault="001C1DC4" w:rsidP="001C1DC4">
      <w:pPr>
        <w:pStyle w:val="Sinespaciado"/>
        <w:jc w:val="center"/>
        <w:rPr>
          <w:rFonts w:ascii="Arial" w:hAnsi="Arial" w:cs="Arial"/>
          <w:b/>
          <w:bCs/>
          <w:sz w:val="24"/>
          <w:szCs w:val="24"/>
        </w:rPr>
      </w:pPr>
      <w:r w:rsidRPr="00A84134">
        <w:rPr>
          <w:rFonts w:ascii="Arial" w:hAnsi="Arial" w:cs="Arial"/>
          <w:b/>
          <w:bCs/>
          <w:sz w:val="24"/>
          <w:szCs w:val="24"/>
        </w:rPr>
        <w:t>Exposición De Motivos</w:t>
      </w:r>
    </w:p>
    <w:p w:rsidR="001C1DC4" w:rsidRPr="007026F3" w:rsidRDefault="001C1DC4" w:rsidP="001C1DC4">
      <w:pPr>
        <w:pStyle w:val="Sinespaciado"/>
        <w:jc w:val="center"/>
        <w:rPr>
          <w:rFonts w:ascii="Arial" w:hAnsi="Arial" w:cs="Arial"/>
          <w:b/>
          <w:bCs/>
          <w:sz w:val="24"/>
          <w:szCs w:val="24"/>
        </w:rPr>
      </w:pPr>
    </w:p>
    <w:p w:rsidR="001C1DC4" w:rsidRPr="001C1DC4" w:rsidRDefault="001C1DC4" w:rsidP="001C1DC4">
      <w:pPr>
        <w:pStyle w:val="NormalWeb"/>
        <w:spacing w:line="360" w:lineRule="auto"/>
        <w:jc w:val="both"/>
        <w:rPr>
          <w:rFonts w:ascii="Arial" w:hAnsi="Arial" w:cs="Arial"/>
          <w:bCs/>
        </w:rPr>
      </w:pPr>
      <w:r w:rsidRPr="001C1DC4">
        <w:rPr>
          <w:rFonts w:ascii="Arial" w:hAnsi="Arial" w:cs="Arial"/>
          <w:bCs/>
        </w:rPr>
        <w:t xml:space="preserve">De acuerdo con la Declaración sobre la Eliminación de la Violencia contra la Mujer, la violencia contra la mujer “es todo acto de violencia de género que resulte, o pueda tener como resultado un daño físico, sexual o psicológico para la mujer, inclusive </w:t>
      </w:r>
      <w:r w:rsidRPr="001C1DC4">
        <w:rPr>
          <w:rFonts w:ascii="Arial" w:hAnsi="Arial" w:cs="Arial"/>
          <w:bCs/>
        </w:rPr>
        <w:lastRenderedPageBreak/>
        <w:t>las amenazas de tales actos, la coacción o la privación arbitraria de libertad, tanto si se producen en la vi</w:t>
      </w:r>
      <w:r>
        <w:rPr>
          <w:rFonts w:ascii="Arial" w:hAnsi="Arial" w:cs="Arial"/>
          <w:bCs/>
        </w:rPr>
        <w:t>da pública como en la privada”.</w:t>
      </w:r>
      <w:r>
        <w:rPr>
          <w:rStyle w:val="Refdenotaalpie"/>
          <w:rFonts w:ascii="Arial" w:hAnsi="Arial" w:cs="Arial"/>
          <w:bCs/>
        </w:rPr>
        <w:footnoteReference w:id="1"/>
      </w:r>
    </w:p>
    <w:p w:rsidR="001C1DC4" w:rsidRPr="001C1DC4" w:rsidRDefault="001C1DC4" w:rsidP="001C1DC4">
      <w:pPr>
        <w:pStyle w:val="NormalWeb"/>
        <w:spacing w:line="360" w:lineRule="auto"/>
        <w:jc w:val="both"/>
        <w:rPr>
          <w:rFonts w:ascii="Arial" w:hAnsi="Arial" w:cs="Arial"/>
          <w:bCs/>
        </w:rPr>
      </w:pPr>
      <w:r w:rsidRPr="001C1DC4">
        <w:rPr>
          <w:rFonts w:ascii="Arial" w:hAnsi="Arial" w:cs="Arial"/>
          <w:bCs/>
        </w:rPr>
        <w:t>ONU Mujeres refiere que, a nivel mundial, una de cada tres mujeres ha experimentado y sufrido algún tipo de violencia física y/o sexual de su pareja o violencia sexual por terceros en algún momento de su vida. Mientras que el Instituto Nacional de Estadística y Geografía (INEGI) señala que, en México, 6 de cada 10 mujeres, han sufrido al menos un incidente de violencia emocional, económica, física, sexual o discri</w:t>
      </w:r>
      <w:r>
        <w:rPr>
          <w:rFonts w:ascii="Arial" w:hAnsi="Arial" w:cs="Arial"/>
          <w:bCs/>
        </w:rPr>
        <w:t>minación a lo largo de su vida.</w:t>
      </w:r>
    </w:p>
    <w:p w:rsidR="003C7C7E" w:rsidRDefault="008925C7" w:rsidP="001C1DC4">
      <w:pPr>
        <w:pStyle w:val="NormalWeb"/>
        <w:spacing w:line="360" w:lineRule="auto"/>
        <w:jc w:val="both"/>
        <w:rPr>
          <w:rFonts w:ascii="Arial" w:hAnsi="Arial" w:cs="Arial"/>
          <w:bCs/>
        </w:rPr>
      </w:pPr>
      <w:r>
        <w:rPr>
          <w:rFonts w:ascii="Arial" w:hAnsi="Arial" w:cs="Arial"/>
          <w:bCs/>
        </w:rPr>
        <w:t xml:space="preserve">Asimismo, dicha organización </w:t>
      </w:r>
      <w:r w:rsidR="001C1DC4" w:rsidRPr="001C1DC4">
        <w:rPr>
          <w:rFonts w:ascii="Arial" w:hAnsi="Arial" w:cs="Arial"/>
          <w:bCs/>
        </w:rPr>
        <w:t>indica que la violencia contra las mujeres, es una forma de discriminación que impide su acceso a oportunidades, vulnera y socava el ejercicio de sus derechos fundamentales y tiene consecuencias en la salud, la libertad, la seguridad y la vida de las mujeres y las niñas, así como un impacto en el desarrollo de los países y lastim</w:t>
      </w:r>
      <w:r w:rsidR="001C1DC4">
        <w:rPr>
          <w:rFonts w:ascii="Arial" w:hAnsi="Arial" w:cs="Arial"/>
          <w:bCs/>
        </w:rPr>
        <w:t xml:space="preserve">a a la sociedad en su conjunto. </w:t>
      </w:r>
    </w:p>
    <w:p w:rsidR="008925C7" w:rsidRDefault="008925C7" w:rsidP="001C1DC4">
      <w:pPr>
        <w:pStyle w:val="NormalWeb"/>
        <w:spacing w:line="360" w:lineRule="auto"/>
        <w:jc w:val="both"/>
        <w:rPr>
          <w:rFonts w:ascii="Arial" w:hAnsi="Arial" w:cs="Arial"/>
          <w:bCs/>
        </w:rPr>
      </w:pPr>
      <w:r w:rsidRPr="008925C7">
        <w:rPr>
          <w:rFonts w:ascii="Arial" w:hAnsi="Arial" w:cs="Arial"/>
          <w:bCs/>
        </w:rPr>
        <w:t xml:space="preserve">Datos de la Red Nacional de Refugios indican que desafortunadamente la violencia contra las mujeres en el país obligo en el año 2024 a 25 mil 202 mujeres y sus hijos a vivir en refugios, lo que </w:t>
      </w:r>
      <w:proofErr w:type="spellStart"/>
      <w:r w:rsidRPr="008925C7">
        <w:rPr>
          <w:rFonts w:ascii="Arial" w:hAnsi="Arial" w:cs="Arial"/>
          <w:bCs/>
        </w:rPr>
        <w:t>significo</w:t>
      </w:r>
      <w:proofErr w:type="spellEnd"/>
      <w:r w:rsidRPr="008925C7">
        <w:rPr>
          <w:rFonts w:ascii="Arial" w:hAnsi="Arial" w:cs="Arial"/>
          <w:bCs/>
        </w:rPr>
        <w:t xml:space="preserve"> un aumento del 10.75% de mujeres, niñas y niños atendidos en Refugios en relación al año anterior. </w:t>
      </w:r>
      <w:r>
        <w:rPr>
          <w:rStyle w:val="Refdenotaalpie"/>
          <w:rFonts w:ascii="Arial" w:hAnsi="Arial" w:cs="Arial"/>
          <w:bCs/>
        </w:rPr>
        <w:footnoteReference w:id="2"/>
      </w:r>
    </w:p>
    <w:p w:rsidR="004E4F5F" w:rsidRDefault="003C7C7E" w:rsidP="004E4F5F">
      <w:pPr>
        <w:spacing w:line="360" w:lineRule="auto"/>
        <w:jc w:val="both"/>
        <w:rPr>
          <w:rFonts w:ascii="Arial" w:eastAsia="Times New Roman" w:hAnsi="Arial" w:cs="Arial"/>
          <w:bCs/>
          <w:sz w:val="24"/>
          <w:szCs w:val="24"/>
          <w:lang w:eastAsia="es-MX"/>
        </w:rPr>
      </w:pPr>
      <w:r w:rsidRPr="004E4F5F">
        <w:rPr>
          <w:rFonts w:ascii="Arial" w:hAnsi="Arial" w:cs="Arial"/>
          <w:bCs/>
          <w:sz w:val="24"/>
          <w:szCs w:val="24"/>
        </w:rPr>
        <w:t>Respecto al Estado de México l</w:t>
      </w:r>
      <w:r w:rsidR="004E4F5F">
        <w:rPr>
          <w:rFonts w:ascii="Arial" w:eastAsia="Times New Roman" w:hAnsi="Arial" w:cs="Arial"/>
          <w:bCs/>
          <w:sz w:val="24"/>
          <w:szCs w:val="24"/>
          <w:lang w:eastAsia="es-MX"/>
        </w:rPr>
        <w:t>as cifras son alarmantes</w:t>
      </w:r>
      <w:r w:rsidRPr="004E4F5F">
        <w:rPr>
          <w:rFonts w:ascii="Arial" w:eastAsia="Times New Roman" w:hAnsi="Arial" w:cs="Arial"/>
          <w:bCs/>
          <w:sz w:val="24"/>
          <w:szCs w:val="24"/>
          <w:lang w:eastAsia="es-MX"/>
        </w:rPr>
        <w:t xml:space="preserve">: </w:t>
      </w:r>
      <w:r w:rsidR="004B1081" w:rsidRPr="004E4F5F">
        <w:rPr>
          <w:rFonts w:ascii="Arial" w:hAnsi="Arial" w:cs="Arial"/>
          <w:bCs/>
          <w:sz w:val="24"/>
          <w:szCs w:val="24"/>
        </w:rPr>
        <w:t>somos</w:t>
      </w:r>
      <w:r w:rsidR="00AC1034" w:rsidRPr="004E4F5F">
        <w:rPr>
          <w:rFonts w:ascii="Arial" w:hAnsi="Arial" w:cs="Arial"/>
          <w:bCs/>
          <w:sz w:val="24"/>
          <w:szCs w:val="24"/>
        </w:rPr>
        <w:t xml:space="preserve"> </w:t>
      </w:r>
      <w:r w:rsidRPr="004E4F5F">
        <w:rPr>
          <w:rFonts w:ascii="Arial" w:eastAsia="Times New Roman" w:hAnsi="Arial" w:cs="Arial"/>
          <w:bCs/>
          <w:sz w:val="24"/>
          <w:szCs w:val="24"/>
          <w:lang w:eastAsia="es-MX"/>
        </w:rPr>
        <w:t>la entidad con</w:t>
      </w:r>
      <w:r w:rsidR="004B1081" w:rsidRPr="004E4F5F">
        <w:rPr>
          <w:rFonts w:ascii="Arial" w:hAnsi="Arial" w:cs="Arial"/>
          <w:bCs/>
          <w:sz w:val="24"/>
          <w:szCs w:val="24"/>
        </w:rPr>
        <w:t xml:space="preserve"> el</w:t>
      </w:r>
      <w:r w:rsidRPr="004E4F5F">
        <w:rPr>
          <w:rFonts w:ascii="Arial" w:eastAsia="Times New Roman" w:hAnsi="Arial" w:cs="Arial"/>
          <w:bCs/>
          <w:sz w:val="24"/>
          <w:szCs w:val="24"/>
          <w:lang w:eastAsia="es-MX"/>
        </w:rPr>
        <w:t xml:space="preserve"> mayor número de feminicidios en el país. De acuerdo con el Secretariado Ejecutivo del Sistema Nacional de S</w:t>
      </w:r>
      <w:r w:rsidR="00721E2B" w:rsidRPr="004E4F5F">
        <w:rPr>
          <w:rFonts w:ascii="Arial" w:hAnsi="Arial" w:cs="Arial"/>
          <w:bCs/>
          <w:sz w:val="24"/>
          <w:szCs w:val="24"/>
        </w:rPr>
        <w:t xml:space="preserve">eguridad Pública, </w:t>
      </w:r>
      <w:r w:rsidR="004E4F5F" w:rsidRPr="004E4F5F">
        <w:rPr>
          <w:rFonts w:ascii="Arial" w:eastAsia="Times New Roman" w:hAnsi="Arial" w:cs="Arial"/>
          <w:bCs/>
          <w:sz w:val="24"/>
          <w:szCs w:val="24"/>
          <w:lang w:eastAsia="es-MX"/>
        </w:rPr>
        <w:t>en 2024 se registraron 73 feminicidios,</w:t>
      </w:r>
      <w:r w:rsidR="004E4F5F">
        <w:rPr>
          <w:rFonts w:ascii="Arial" w:eastAsia="Times New Roman" w:hAnsi="Arial" w:cs="Arial"/>
          <w:bCs/>
          <w:sz w:val="24"/>
          <w:szCs w:val="24"/>
          <w:lang w:eastAsia="es-MX"/>
        </w:rPr>
        <w:t xml:space="preserve"> </w:t>
      </w:r>
      <w:r w:rsidR="004E4F5F">
        <w:rPr>
          <w:rFonts w:ascii="Arial" w:eastAsia="Times New Roman" w:hAnsi="Arial" w:cs="Arial"/>
          <w:bCs/>
          <w:sz w:val="24"/>
          <w:szCs w:val="24"/>
          <w:lang w:eastAsia="es-MX"/>
        </w:rPr>
        <w:lastRenderedPageBreak/>
        <w:t xml:space="preserve">además de 11 mil </w:t>
      </w:r>
      <w:r w:rsidR="004E4F5F" w:rsidRPr="004E4F5F">
        <w:rPr>
          <w:rFonts w:ascii="Arial" w:eastAsia="Times New Roman" w:hAnsi="Arial" w:cs="Arial"/>
          <w:bCs/>
          <w:sz w:val="24"/>
          <w:szCs w:val="24"/>
          <w:lang w:eastAsia="es-MX"/>
        </w:rPr>
        <w:t>746 carpetas de investigación por delitos contra la liber</w:t>
      </w:r>
      <w:r w:rsidR="004E4F5F">
        <w:rPr>
          <w:rFonts w:ascii="Arial" w:eastAsia="Times New Roman" w:hAnsi="Arial" w:cs="Arial"/>
          <w:bCs/>
          <w:sz w:val="24"/>
          <w:szCs w:val="24"/>
          <w:lang w:eastAsia="es-MX"/>
        </w:rPr>
        <w:t xml:space="preserve">tad y la seguridad sexual, y 27 mil </w:t>
      </w:r>
      <w:r w:rsidR="004E4F5F" w:rsidRPr="004E4F5F">
        <w:rPr>
          <w:rFonts w:ascii="Arial" w:eastAsia="Times New Roman" w:hAnsi="Arial" w:cs="Arial"/>
          <w:bCs/>
          <w:sz w:val="24"/>
          <w:szCs w:val="24"/>
          <w:lang w:eastAsia="es-MX"/>
        </w:rPr>
        <w:t>976 denuncias por violencia familiar.</w:t>
      </w:r>
      <w:r w:rsidR="001121D9">
        <w:rPr>
          <w:rStyle w:val="Refdenotaalpie"/>
          <w:rFonts w:ascii="Arial" w:eastAsia="Times New Roman" w:hAnsi="Arial" w:cs="Arial"/>
          <w:bCs/>
          <w:sz w:val="24"/>
          <w:szCs w:val="24"/>
          <w:lang w:eastAsia="es-MX"/>
        </w:rPr>
        <w:footnoteReference w:id="3"/>
      </w:r>
    </w:p>
    <w:p w:rsidR="003F74C4" w:rsidRPr="004E4F5F" w:rsidRDefault="003F74C4" w:rsidP="004E4F5F">
      <w:pPr>
        <w:spacing w:line="360" w:lineRule="auto"/>
        <w:jc w:val="both"/>
        <w:rPr>
          <w:rFonts w:ascii="Arial" w:eastAsia="Times New Roman" w:hAnsi="Arial" w:cs="Arial"/>
          <w:bCs/>
          <w:sz w:val="24"/>
          <w:szCs w:val="24"/>
          <w:lang w:eastAsia="es-MX"/>
        </w:rPr>
      </w:pPr>
      <w:r>
        <w:rPr>
          <w:rFonts w:ascii="Arial" w:eastAsia="Times New Roman" w:hAnsi="Arial" w:cs="Arial"/>
          <w:bCs/>
          <w:sz w:val="24"/>
          <w:szCs w:val="24"/>
          <w:lang w:eastAsia="es-MX"/>
        </w:rPr>
        <w:t>De igual forma dicho Secretariado E</w:t>
      </w:r>
      <w:r w:rsidR="00C56AD9">
        <w:rPr>
          <w:rFonts w:ascii="Arial" w:eastAsia="Times New Roman" w:hAnsi="Arial" w:cs="Arial"/>
          <w:bCs/>
          <w:sz w:val="24"/>
          <w:szCs w:val="24"/>
          <w:lang w:eastAsia="es-MX"/>
        </w:rPr>
        <w:t>jecutivo, reportó</w:t>
      </w:r>
      <w:r>
        <w:rPr>
          <w:rFonts w:ascii="Arial" w:eastAsia="Times New Roman" w:hAnsi="Arial" w:cs="Arial"/>
          <w:bCs/>
          <w:sz w:val="24"/>
          <w:szCs w:val="24"/>
          <w:lang w:eastAsia="es-MX"/>
        </w:rPr>
        <w:t xml:space="preserve"> que solo en el mes de enero del presente año 2025, </w:t>
      </w:r>
      <w:r w:rsidR="003C7FE0">
        <w:rPr>
          <w:rFonts w:ascii="Arial" w:eastAsia="Times New Roman" w:hAnsi="Arial" w:cs="Arial"/>
          <w:bCs/>
          <w:sz w:val="24"/>
          <w:szCs w:val="24"/>
          <w:lang w:eastAsia="es-MX"/>
        </w:rPr>
        <w:t>registro 21 mil 684 l</w:t>
      </w:r>
      <w:r w:rsidR="003C7FE0" w:rsidRPr="003C7FE0">
        <w:rPr>
          <w:rFonts w:ascii="Arial" w:eastAsia="Times New Roman" w:hAnsi="Arial" w:cs="Arial"/>
          <w:bCs/>
          <w:sz w:val="24"/>
          <w:szCs w:val="24"/>
          <w:lang w:eastAsia="es-MX"/>
        </w:rPr>
        <w:t xml:space="preserve">lamadas de emergencia </w:t>
      </w:r>
      <w:r w:rsidR="003C7FE0">
        <w:rPr>
          <w:rFonts w:ascii="Arial" w:eastAsia="Times New Roman" w:hAnsi="Arial" w:cs="Arial"/>
          <w:bCs/>
          <w:sz w:val="24"/>
          <w:szCs w:val="24"/>
          <w:lang w:eastAsia="es-MX"/>
        </w:rPr>
        <w:t xml:space="preserve">al 911 </w:t>
      </w:r>
      <w:r w:rsidR="003C7FE0" w:rsidRPr="003C7FE0">
        <w:rPr>
          <w:rFonts w:ascii="Arial" w:eastAsia="Times New Roman" w:hAnsi="Arial" w:cs="Arial"/>
          <w:bCs/>
          <w:sz w:val="24"/>
          <w:szCs w:val="24"/>
          <w:lang w:eastAsia="es-MX"/>
        </w:rPr>
        <w:t>relacionadas con incidentes de violencia contra la mujer a nivel nacional</w:t>
      </w:r>
      <w:r w:rsidR="003C7FE0">
        <w:rPr>
          <w:rFonts w:ascii="Arial" w:eastAsia="Times New Roman" w:hAnsi="Arial" w:cs="Arial"/>
          <w:bCs/>
          <w:sz w:val="24"/>
          <w:szCs w:val="24"/>
          <w:lang w:eastAsia="es-MX"/>
        </w:rPr>
        <w:t>, de las cuales el 17.2% (3,724) de ellas fueron del Estado de México.</w:t>
      </w:r>
      <w:r w:rsidR="003C7FE0">
        <w:rPr>
          <w:rStyle w:val="Refdenotaalpie"/>
          <w:rFonts w:ascii="Arial" w:eastAsia="Times New Roman" w:hAnsi="Arial" w:cs="Arial"/>
          <w:bCs/>
          <w:sz w:val="24"/>
          <w:szCs w:val="24"/>
          <w:lang w:eastAsia="es-MX"/>
        </w:rPr>
        <w:footnoteReference w:id="4"/>
      </w:r>
    </w:p>
    <w:p w:rsidR="004E4F5F" w:rsidRPr="004E4F5F" w:rsidRDefault="004E4F5F" w:rsidP="004E4F5F">
      <w:pPr>
        <w:pStyle w:val="NormalWeb"/>
        <w:spacing w:line="360" w:lineRule="auto"/>
        <w:jc w:val="both"/>
        <w:rPr>
          <w:rFonts w:ascii="Arial" w:hAnsi="Arial" w:cs="Arial"/>
          <w:bCs/>
        </w:rPr>
      </w:pPr>
      <w:r w:rsidRPr="004E4F5F">
        <w:rPr>
          <w:rFonts w:ascii="Arial" w:hAnsi="Arial" w:cs="Arial"/>
          <w:bCs/>
        </w:rPr>
        <w:t>A pesar de estas cifras alarmantes, en nuestro país las mujeres que logran sobrevivir a la violencia muchas veces son criminalizadas por haberse defendido.</w:t>
      </w:r>
      <w:r w:rsidR="00B20A88">
        <w:rPr>
          <w:rFonts w:ascii="Arial" w:hAnsi="Arial" w:cs="Arial"/>
          <w:bCs/>
        </w:rPr>
        <w:t xml:space="preserve"> </w:t>
      </w:r>
      <w:r w:rsidR="00E926C5">
        <w:rPr>
          <w:rFonts w:ascii="Arial" w:hAnsi="Arial" w:cs="Arial"/>
          <w:bCs/>
        </w:rPr>
        <w:t>Tristemente</w:t>
      </w:r>
      <w:r w:rsidR="00B20A88">
        <w:rPr>
          <w:rFonts w:ascii="Arial" w:hAnsi="Arial" w:cs="Arial"/>
          <w:bCs/>
        </w:rPr>
        <w:t xml:space="preserve"> en muchas ocasiones p</w:t>
      </w:r>
      <w:r w:rsidRPr="004E4F5F">
        <w:rPr>
          <w:rFonts w:ascii="Arial" w:hAnsi="Arial" w:cs="Arial"/>
          <w:bCs/>
        </w:rPr>
        <w:t>arece ser más aceptable socialmente que una mujer sea una víctima muerta a que sea una sobreviviente encarcelada.</w:t>
      </w:r>
    </w:p>
    <w:p w:rsidR="000A5EF1" w:rsidRPr="000A5EF1" w:rsidRDefault="000A5EF1" w:rsidP="000A5EF1">
      <w:pPr>
        <w:pStyle w:val="NormalWeb"/>
        <w:spacing w:line="360" w:lineRule="auto"/>
        <w:jc w:val="both"/>
        <w:rPr>
          <w:rFonts w:ascii="Arial" w:hAnsi="Arial" w:cs="Arial"/>
          <w:bCs/>
        </w:rPr>
      </w:pPr>
      <w:r w:rsidRPr="000A5EF1">
        <w:rPr>
          <w:rFonts w:ascii="Arial" w:hAnsi="Arial" w:cs="Arial"/>
          <w:bCs/>
        </w:rPr>
        <w:t xml:space="preserve">Uno de los ejemplos más representativos es el caso de Alina Mariel Narciso </w:t>
      </w:r>
      <w:proofErr w:type="spellStart"/>
      <w:r w:rsidRPr="000A5EF1">
        <w:rPr>
          <w:rFonts w:ascii="Arial" w:hAnsi="Arial" w:cs="Arial"/>
          <w:bCs/>
        </w:rPr>
        <w:t>Tehuaxtle</w:t>
      </w:r>
      <w:proofErr w:type="spellEnd"/>
      <w:r w:rsidRPr="000A5EF1">
        <w:rPr>
          <w:rFonts w:ascii="Arial" w:hAnsi="Arial" w:cs="Arial"/>
          <w:bCs/>
        </w:rPr>
        <w:t>, ocurrido en Baja California. Alina, tras defenderse de un intento de feminicidio por parte de su pareja, fue condenada a 45 años de prisión. Su caso evidenció la falta de perspectiva de género en la impartición de justicia y llevó a la aprobación de la “Ley Alina”, que reconoce la legítima defensa en contextos de violencia de género</w:t>
      </w:r>
      <w:r>
        <w:rPr>
          <w:rFonts w:ascii="Arial" w:hAnsi="Arial" w:cs="Arial"/>
          <w:bCs/>
        </w:rPr>
        <w:t xml:space="preserve"> en esa entidad.</w:t>
      </w:r>
      <w:r w:rsidR="00F50CE6">
        <w:rPr>
          <w:rStyle w:val="Refdenotaalpie"/>
          <w:rFonts w:ascii="Arial" w:hAnsi="Arial" w:cs="Arial"/>
          <w:bCs/>
        </w:rPr>
        <w:footnoteReference w:id="5"/>
      </w:r>
    </w:p>
    <w:p w:rsidR="000A5EF1" w:rsidRPr="000A5EF1" w:rsidRDefault="000A5EF1" w:rsidP="000A5EF1">
      <w:pPr>
        <w:pStyle w:val="NormalWeb"/>
        <w:spacing w:line="360" w:lineRule="auto"/>
        <w:jc w:val="both"/>
        <w:rPr>
          <w:rFonts w:ascii="Arial" w:hAnsi="Arial" w:cs="Arial"/>
          <w:bCs/>
        </w:rPr>
      </w:pPr>
      <w:r w:rsidRPr="000A5EF1">
        <w:rPr>
          <w:rFonts w:ascii="Arial" w:hAnsi="Arial" w:cs="Arial"/>
          <w:bCs/>
        </w:rPr>
        <w:lastRenderedPageBreak/>
        <w:t>Sin embargo, a pesar del precedente que dejó este caso, la historia se repitió́ en el Estado de México</w:t>
      </w:r>
      <w:r>
        <w:rPr>
          <w:rFonts w:ascii="Arial" w:hAnsi="Arial" w:cs="Arial"/>
          <w:bCs/>
        </w:rPr>
        <w:t>, con el caso de Roxana Ruiz.</w:t>
      </w:r>
      <w:r w:rsidR="00F50CE6">
        <w:rPr>
          <w:rStyle w:val="Refdenotaalpie"/>
          <w:rFonts w:ascii="Arial" w:hAnsi="Arial" w:cs="Arial"/>
          <w:bCs/>
        </w:rPr>
        <w:footnoteReference w:id="6"/>
      </w:r>
    </w:p>
    <w:p w:rsidR="000A5EF1" w:rsidRPr="000A5EF1" w:rsidRDefault="000A5EF1" w:rsidP="000A5EF1">
      <w:pPr>
        <w:pStyle w:val="NormalWeb"/>
        <w:spacing w:line="360" w:lineRule="auto"/>
        <w:jc w:val="both"/>
        <w:rPr>
          <w:rFonts w:ascii="Arial" w:hAnsi="Arial" w:cs="Arial"/>
          <w:bCs/>
        </w:rPr>
      </w:pPr>
      <w:r w:rsidRPr="000A5EF1">
        <w:rPr>
          <w:rFonts w:ascii="Arial" w:hAnsi="Arial" w:cs="Arial"/>
          <w:bCs/>
        </w:rPr>
        <w:t>Roxana, una joven oaxaqueña de 23 años, vendedora de papas fritas en Nezahualcóyotl, fue sentenciada a seis años de prisión por h</w:t>
      </w:r>
      <w:r>
        <w:rPr>
          <w:rFonts w:ascii="Arial" w:hAnsi="Arial" w:cs="Arial"/>
          <w:bCs/>
        </w:rPr>
        <w:t>aberse defendido de su agresor.</w:t>
      </w:r>
    </w:p>
    <w:p w:rsidR="00F24B95" w:rsidRDefault="000A5EF1" w:rsidP="000A5EF1">
      <w:pPr>
        <w:pStyle w:val="NormalWeb"/>
        <w:spacing w:line="360" w:lineRule="auto"/>
        <w:jc w:val="both"/>
        <w:rPr>
          <w:rFonts w:ascii="Arial" w:hAnsi="Arial" w:cs="Arial"/>
          <w:bCs/>
        </w:rPr>
      </w:pPr>
      <w:r w:rsidRPr="000A5EF1">
        <w:rPr>
          <w:rFonts w:ascii="Arial" w:hAnsi="Arial" w:cs="Arial"/>
          <w:bCs/>
        </w:rPr>
        <w:t>La noche del 8 de mayo de 2021, después de convivir con unos amigos, permitió́ que un joven llamado Sinaí́ se quedara en su casa, ya que él argumentó que vivía lejos. Sin embargo, durante la noche, Sinaí</w:t>
      </w:r>
      <w:r w:rsidR="00F24B95">
        <w:rPr>
          <w:rFonts w:ascii="Arial" w:hAnsi="Arial" w:cs="Arial"/>
          <w:bCs/>
        </w:rPr>
        <w:t>́ la violó, e</w:t>
      </w:r>
      <w:r w:rsidRPr="000A5EF1">
        <w:rPr>
          <w:rFonts w:ascii="Arial" w:hAnsi="Arial" w:cs="Arial"/>
          <w:bCs/>
        </w:rPr>
        <w:t>n un acto desesperado de defensa, Roxan</w:t>
      </w:r>
      <w:r>
        <w:rPr>
          <w:rFonts w:ascii="Arial" w:hAnsi="Arial" w:cs="Arial"/>
          <w:bCs/>
        </w:rPr>
        <w:t>a lo mató para salvar su vida.</w:t>
      </w:r>
      <w:r w:rsidR="00F24B95">
        <w:rPr>
          <w:rFonts w:ascii="Arial" w:hAnsi="Arial" w:cs="Arial"/>
          <w:bCs/>
        </w:rPr>
        <w:t xml:space="preserve"> </w:t>
      </w:r>
      <w:r w:rsidRPr="000A5EF1">
        <w:rPr>
          <w:rFonts w:ascii="Arial" w:hAnsi="Arial" w:cs="Arial"/>
          <w:bCs/>
        </w:rPr>
        <w:t xml:space="preserve">En lugar de recibir justicia, Roxana fue arrestada y encarcelada durante nueve meses, hasta que pudo llevar su proceso en libertad. </w:t>
      </w:r>
    </w:p>
    <w:p w:rsidR="003F74C4" w:rsidRDefault="000A5EF1" w:rsidP="000A5EF1">
      <w:pPr>
        <w:pStyle w:val="NormalWeb"/>
        <w:spacing w:line="360" w:lineRule="auto"/>
        <w:jc w:val="both"/>
        <w:rPr>
          <w:rFonts w:ascii="Arial" w:hAnsi="Arial" w:cs="Arial"/>
          <w:bCs/>
        </w:rPr>
      </w:pPr>
      <w:r>
        <w:rPr>
          <w:rFonts w:ascii="Arial" w:hAnsi="Arial" w:cs="Arial"/>
          <w:bCs/>
        </w:rPr>
        <w:t xml:space="preserve">Dichos casos </w:t>
      </w:r>
      <w:r w:rsidRPr="000A5EF1">
        <w:rPr>
          <w:rFonts w:ascii="Arial" w:hAnsi="Arial" w:cs="Arial"/>
          <w:bCs/>
        </w:rPr>
        <w:t xml:space="preserve">reflejan una </w:t>
      </w:r>
      <w:r w:rsidR="003F74C4" w:rsidRPr="000A5EF1">
        <w:rPr>
          <w:rFonts w:ascii="Arial" w:hAnsi="Arial" w:cs="Arial"/>
          <w:bCs/>
        </w:rPr>
        <w:t>problemática</w:t>
      </w:r>
      <w:r w:rsidRPr="000A5EF1">
        <w:rPr>
          <w:rFonts w:ascii="Arial" w:hAnsi="Arial" w:cs="Arial"/>
          <w:bCs/>
        </w:rPr>
        <w:t xml:space="preserve"> </w:t>
      </w:r>
      <w:r w:rsidR="003F74C4" w:rsidRPr="000A5EF1">
        <w:rPr>
          <w:rFonts w:ascii="Arial" w:hAnsi="Arial" w:cs="Arial"/>
          <w:bCs/>
        </w:rPr>
        <w:t>sistemática</w:t>
      </w:r>
      <w:r w:rsidRPr="000A5EF1">
        <w:rPr>
          <w:rFonts w:ascii="Arial" w:hAnsi="Arial" w:cs="Arial"/>
          <w:bCs/>
        </w:rPr>
        <w:t xml:space="preserve">: las mujeres en </w:t>
      </w:r>
      <w:r w:rsidR="003F74C4" w:rsidRPr="000A5EF1">
        <w:rPr>
          <w:rFonts w:ascii="Arial" w:hAnsi="Arial" w:cs="Arial"/>
          <w:bCs/>
        </w:rPr>
        <w:t>México</w:t>
      </w:r>
      <w:r w:rsidRPr="000A5EF1">
        <w:rPr>
          <w:rFonts w:ascii="Arial" w:hAnsi="Arial" w:cs="Arial"/>
          <w:bCs/>
        </w:rPr>
        <w:t xml:space="preserve"> son juzgadas con mayor dureza por defenderse de la violencia que los agresores que intentan asesinarlas.</w:t>
      </w:r>
      <w:r>
        <w:rPr>
          <w:rFonts w:ascii="Arial" w:hAnsi="Arial" w:cs="Arial"/>
          <w:bCs/>
        </w:rPr>
        <w:t xml:space="preserve"> </w:t>
      </w:r>
    </w:p>
    <w:p w:rsidR="00B20A88" w:rsidRDefault="003F74C4" w:rsidP="000A5EF1">
      <w:pPr>
        <w:pStyle w:val="NormalWeb"/>
        <w:spacing w:line="360" w:lineRule="auto"/>
        <w:jc w:val="both"/>
        <w:rPr>
          <w:rFonts w:ascii="Arial" w:hAnsi="Arial" w:cs="Arial"/>
          <w:bCs/>
        </w:rPr>
      </w:pPr>
      <w:r>
        <w:rPr>
          <w:rFonts w:ascii="Arial" w:hAnsi="Arial" w:cs="Arial"/>
          <w:bCs/>
        </w:rPr>
        <w:t>En el</w:t>
      </w:r>
      <w:r w:rsidR="004E4F5F" w:rsidRPr="004E4F5F">
        <w:rPr>
          <w:rFonts w:ascii="Arial" w:hAnsi="Arial" w:cs="Arial"/>
          <w:bCs/>
        </w:rPr>
        <w:t xml:space="preserve"> Estado de </w:t>
      </w:r>
      <w:r w:rsidR="00B20A88" w:rsidRPr="004E4F5F">
        <w:rPr>
          <w:rFonts w:ascii="Arial" w:hAnsi="Arial" w:cs="Arial"/>
          <w:bCs/>
        </w:rPr>
        <w:t>México</w:t>
      </w:r>
      <w:r w:rsidR="004E4F5F" w:rsidRPr="004E4F5F">
        <w:rPr>
          <w:rFonts w:ascii="Arial" w:hAnsi="Arial" w:cs="Arial"/>
          <w:bCs/>
        </w:rPr>
        <w:t xml:space="preserve">, </w:t>
      </w:r>
      <w:r w:rsidR="00B20A88" w:rsidRPr="004E4F5F">
        <w:rPr>
          <w:rFonts w:ascii="Arial" w:hAnsi="Arial" w:cs="Arial"/>
          <w:bCs/>
        </w:rPr>
        <w:t>aún</w:t>
      </w:r>
      <w:r w:rsidR="004E4F5F" w:rsidRPr="004E4F5F">
        <w:rPr>
          <w:rFonts w:ascii="Arial" w:hAnsi="Arial" w:cs="Arial"/>
          <w:bCs/>
        </w:rPr>
        <w:t xml:space="preserve"> no contamos con una </w:t>
      </w:r>
      <w:r w:rsidR="00B20A88" w:rsidRPr="004E4F5F">
        <w:rPr>
          <w:rFonts w:ascii="Arial" w:hAnsi="Arial" w:cs="Arial"/>
          <w:bCs/>
        </w:rPr>
        <w:t>legislación</w:t>
      </w:r>
      <w:r w:rsidR="004E4F5F" w:rsidRPr="004E4F5F">
        <w:rPr>
          <w:rFonts w:ascii="Arial" w:hAnsi="Arial" w:cs="Arial"/>
          <w:bCs/>
        </w:rPr>
        <w:t xml:space="preserve"> que proteja a las mujeres que, en un acto desesperado por salvar su vida, lesionan o privan de la vida a su agresor. La ausencia de este marco legal deja en </w:t>
      </w:r>
      <w:r>
        <w:rPr>
          <w:rFonts w:ascii="Arial" w:hAnsi="Arial" w:cs="Arial"/>
          <w:bCs/>
        </w:rPr>
        <w:t>indefensión</w:t>
      </w:r>
      <w:r w:rsidR="004E4F5F" w:rsidRPr="004E4F5F">
        <w:rPr>
          <w:rFonts w:ascii="Arial" w:hAnsi="Arial" w:cs="Arial"/>
          <w:bCs/>
        </w:rPr>
        <w:t xml:space="preserve"> a muchas </w:t>
      </w:r>
      <w:r w:rsidR="00B20A88" w:rsidRPr="004E4F5F">
        <w:rPr>
          <w:rFonts w:ascii="Arial" w:hAnsi="Arial" w:cs="Arial"/>
          <w:bCs/>
        </w:rPr>
        <w:t>víctimas</w:t>
      </w:r>
      <w:r w:rsidR="004E4F5F" w:rsidRPr="004E4F5F">
        <w:rPr>
          <w:rFonts w:ascii="Arial" w:hAnsi="Arial" w:cs="Arial"/>
          <w:bCs/>
        </w:rPr>
        <w:t xml:space="preserve"> y </w:t>
      </w:r>
      <w:r w:rsidR="00B20A88" w:rsidRPr="004E4F5F">
        <w:rPr>
          <w:rFonts w:ascii="Arial" w:hAnsi="Arial" w:cs="Arial"/>
          <w:bCs/>
        </w:rPr>
        <w:t>perpetúa</w:t>
      </w:r>
      <w:r w:rsidR="004E4F5F" w:rsidRPr="004E4F5F">
        <w:rPr>
          <w:rFonts w:ascii="Arial" w:hAnsi="Arial" w:cs="Arial"/>
          <w:bCs/>
        </w:rPr>
        <w:t xml:space="preserve"> la impunidad de los </w:t>
      </w:r>
      <w:r w:rsidR="00B20A88" w:rsidRPr="004E4F5F">
        <w:rPr>
          <w:rFonts w:ascii="Arial" w:hAnsi="Arial" w:cs="Arial"/>
          <w:bCs/>
        </w:rPr>
        <w:t>agresores.</w:t>
      </w:r>
      <w:r w:rsidR="00B20A88">
        <w:rPr>
          <w:rFonts w:ascii="Arial" w:hAnsi="Arial" w:cs="Arial"/>
          <w:bCs/>
        </w:rPr>
        <w:t xml:space="preserve"> </w:t>
      </w:r>
    </w:p>
    <w:p w:rsidR="00B20A88" w:rsidRPr="00B20A88" w:rsidRDefault="00B20A88" w:rsidP="00B20A88">
      <w:pPr>
        <w:pStyle w:val="NormalWeb"/>
        <w:spacing w:line="360" w:lineRule="auto"/>
        <w:jc w:val="both"/>
        <w:rPr>
          <w:rFonts w:ascii="Arial" w:hAnsi="Arial" w:cs="Arial"/>
          <w:bCs/>
        </w:rPr>
      </w:pPr>
      <w:r w:rsidRPr="00B20A88">
        <w:rPr>
          <w:rFonts w:ascii="Arial" w:hAnsi="Arial" w:cs="Arial"/>
          <w:bCs/>
        </w:rPr>
        <w:t xml:space="preserve">El </w:t>
      </w:r>
      <w:r w:rsidRPr="00E25B1B">
        <w:rPr>
          <w:rFonts w:ascii="Arial" w:hAnsi="Arial" w:cs="Arial"/>
          <w:bCs/>
        </w:rPr>
        <w:t>Comité de Expertas del</w:t>
      </w:r>
      <w:r>
        <w:rPr>
          <w:rFonts w:ascii="Arial" w:hAnsi="Arial" w:cs="Arial"/>
          <w:bCs/>
        </w:rPr>
        <w:t xml:space="preserve"> Mecanismo d</w:t>
      </w:r>
      <w:r w:rsidRPr="00B20A88">
        <w:rPr>
          <w:rFonts w:ascii="Arial" w:hAnsi="Arial" w:cs="Arial"/>
          <w:bCs/>
        </w:rPr>
        <w:t xml:space="preserve">e Seguimiento </w:t>
      </w:r>
      <w:r>
        <w:rPr>
          <w:rFonts w:ascii="Arial" w:hAnsi="Arial" w:cs="Arial"/>
          <w:bCs/>
        </w:rPr>
        <w:t xml:space="preserve">de la </w:t>
      </w:r>
      <w:r w:rsidRPr="00B20A88">
        <w:rPr>
          <w:rFonts w:ascii="Arial" w:hAnsi="Arial" w:cs="Arial"/>
          <w:bCs/>
        </w:rPr>
        <w:t xml:space="preserve">Convención Belém Do Pará (MESECVI), en su Recomendación General No. 1, ha señalado que muchas mujeres en América Latina son procesadas penalmente por homicidio o lesiones </w:t>
      </w:r>
      <w:r w:rsidRPr="00B20A88">
        <w:rPr>
          <w:rFonts w:ascii="Arial" w:hAnsi="Arial" w:cs="Arial"/>
          <w:bCs/>
        </w:rPr>
        <w:lastRenderedPageBreak/>
        <w:t>tras haberse defendido de agresiones ilegitimas en el ámbito doméstico o en relaciones interpersonales marcadas por la violencia de género</w:t>
      </w:r>
      <w:r>
        <w:rPr>
          <w:rFonts w:ascii="Arial" w:hAnsi="Arial" w:cs="Arial"/>
          <w:bCs/>
        </w:rPr>
        <w:t>.</w:t>
      </w:r>
      <w:r w:rsidR="001121D9">
        <w:rPr>
          <w:rStyle w:val="Refdenotaalpie"/>
          <w:rFonts w:ascii="Arial" w:hAnsi="Arial" w:cs="Arial"/>
          <w:bCs/>
        </w:rPr>
        <w:footnoteReference w:id="7"/>
      </w:r>
    </w:p>
    <w:p w:rsidR="00B20A88" w:rsidRPr="00B20A88" w:rsidRDefault="00B20A88" w:rsidP="00B20A88">
      <w:pPr>
        <w:pStyle w:val="NormalWeb"/>
        <w:spacing w:line="360" w:lineRule="auto"/>
        <w:jc w:val="both"/>
        <w:rPr>
          <w:rFonts w:ascii="Arial" w:hAnsi="Arial" w:cs="Arial"/>
          <w:bCs/>
        </w:rPr>
      </w:pPr>
      <w:r w:rsidRPr="00B20A88">
        <w:rPr>
          <w:rFonts w:ascii="Arial" w:hAnsi="Arial" w:cs="Arial"/>
          <w:bCs/>
        </w:rPr>
        <w:t xml:space="preserve">Este comité́ insta a los Estados a garantizar que en los procesos judiciales donde las mujeres víctimas de violencia son acusadas de haber lesionado o privado de la vida a su agresor, se aplique una perspectiva de género que tome en cuenta el contexto de violencia en el que se encontraban, erradicando los estereotipos que las </w:t>
      </w:r>
      <w:r>
        <w:rPr>
          <w:rFonts w:ascii="Arial" w:hAnsi="Arial" w:cs="Arial"/>
          <w:bCs/>
        </w:rPr>
        <w:t>re</w:t>
      </w:r>
      <w:r w:rsidRPr="00B20A88">
        <w:rPr>
          <w:rFonts w:ascii="Arial" w:hAnsi="Arial" w:cs="Arial"/>
          <w:bCs/>
        </w:rPr>
        <w:t>victimizan</w:t>
      </w:r>
      <w:r>
        <w:rPr>
          <w:rFonts w:ascii="Arial" w:hAnsi="Arial" w:cs="Arial"/>
          <w:bCs/>
        </w:rPr>
        <w:t>.</w:t>
      </w:r>
    </w:p>
    <w:p w:rsidR="00B20A88" w:rsidRPr="00B20A88" w:rsidRDefault="00B20A88" w:rsidP="00B20A88">
      <w:pPr>
        <w:pStyle w:val="NormalWeb"/>
        <w:spacing w:line="360" w:lineRule="auto"/>
        <w:jc w:val="both"/>
        <w:rPr>
          <w:rFonts w:ascii="Arial" w:hAnsi="Arial" w:cs="Arial"/>
          <w:bCs/>
        </w:rPr>
      </w:pPr>
      <w:r w:rsidRPr="00B20A88">
        <w:rPr>
          <w:rFonts w:ascii="Arial" w:hAnsi="Arial" w:cs="Arial"/>
          <w:bCs/>
        </w:rPr>
        <w:t>Es fundamental reconocer que la reacción de una mujer que ha sido víctima de violencia sistemática no puede medirse bajo los mismos estándares tradicionales de la legítima defensa. Muchas veces, estas mujeres actúan en un estado de miedo, terror o confusión, lo que afecta su capacidad de evaluar la proporcionalidad de su respuesta.</w:t>
      </w:r>
    </w:p>
    <w:p w:rsidR="00B20A88" w:rsidRDefault="00B20A88" w:rsidP="00B20A88">
      <w:pPr>
        <w:pStyle w:val="NormalWeb"/>
        <w:spacing w:line="360" w:lineRule="auto"/>
        <w:jc w:val="both"/>
        <w:rPr>
          <w:rFonts w:ascii="Arial" w:hAnsi="Arial" w:cs="Arial"/>
          <w:bCs/>
        </w:rPr>
      </w:pPr>
      <w:r w:rsidRPr="00B20A88">
        <w:rPr>
          <w:rFonts w:ascii="Arial" w:hAnsi="Arial" w:cs="Arial"/>
          <w:bCs/>
        </w:rPr>
        <w:t xml:space="preserve">Actualmente, el Código Penal del Estado de México no contempla expresamente la legítima defensa en contextos de violencia de género. Tampoco prevé́ situaciones en las que una mujer, al defender su vida, pueda incurrir en un exceso de legítima defensa debido a su estado de miedo o terror. </w:t>
      </w:r>
    </w:p>
    <w:p w:rsidR="00E3788F" w:rsidRPr="00E3788F" w:rsidRDefault="00E3788F" w:rsidP="00E3788F">
      <w:pPr>
        <w:pStyle w:val="NormalWeb"/>
        <w:spacing w:line="360" w:lineRule="auto"/>
        <w:jc w:val="both"/>
        <w:rPr>
          <w:rFonts w:ascii="Arial" w:hAnsi="Arial" w:cs="Arial"/>
          <w:bCs/>
        </w:rPr>
      </w:pPr>
      <w:r>
        <w:rPr>
          <w:rFonts w:ascii="Arial" w:hAnsi="Arial" w:cs="Arial"/>
          <w:bCs/>
        </w:rPr>
        <w:t xml:space="preserve">En virtud de lo anterior, la presente </w:t>
      </w:r>
      <w:r w:rsidRPr="00E3788F">
        <w:rPr>
          <w:rFonts w:ascii="Arial" w:hAnsi="Arial" w:cs="Arial"/>
          <w:bCs/>
        </w:rPr>
        <w:t>iniciativa tiene como objetivo reconocer la legítima defensa con perspectiva de género, garantizando que ninguna mujer sea crim</w:t>
      </w:r>
      <w:r>
        <w:rPr>
          <w:rFonts w:ascii="Arial" w:hAnsi="Arial" w:cs="Arial"/>
          <w:bCs/>
        </w:rPr>
        <w:t xml:space="preserve">inalizada por defender su vida y </w:t>
      </w:r>
      <w:r w:rsidRPr="00E3788F">
        <w:rPr>
          <w:rFonts w:ascii="Arial" w:hAnsi="Arial" w:cs="Arial"/>
          <w:bCs/>
        </w:rPr>
        <w:t>su integridad ante una agresión</w:t>
      </w:r>
      <w:r>
        <w:rPr>
          <w:rFonts w:ascii="Arial" w:hAnsi="Arial" w:cs="Arial"/>
          <w:bCs/>
        </w:rPr>
        <w:t>, obligando</w:t>
      </w:r>
      <w:r w:rsidRPr="00E3788F">
        <w:rPr>
          <w:rFonts w:ascii="Arial" w:hAnsi="Arial" w:cs="Arial"/>
          <w:bCs/>
        </w:rPr>
        <w:t xml:space="preserve"> a la Fiscalía y a los jueces a aplicar perspectiva de género en los casos donde una mujer s</w:t>
      </w:r>
      <w:r>
        <w:rPr>
          <w:rFonts w:ascii="Arial" w:hAnsi="Arial" w:cs="Arial"/>
          <w:bCs/>
        </w:rPr>
        <w:t>e haya defendido de su agresor.</w:t>
      </w:r>
    </w:p>
    <w:p w:rsidR="00E3788F" w:rsidRPr="00E3788F" w:rsidRDefault="00E3788F" w:rsidP="00E3788F">
      <w:pPr>
        <w:pStyle w:val="NormalWeb"/>
        <w:spacing w:line="360" w:lineRule="auto"/>
        <w:jc w:val="both"/>
        <w:rPr>
          <w:rFonts w:ascii="Arial" w:hAnsi="Arial" w:cs="Arial"/>
          <w:bCs/>
        </w:rPr>
      </w:pPr>
      <w:r>
        <w:rPr>
          <w:rFonts w:ascii="Arial" w:hAnsi="Arial" w:cs="Arial"/>
          <w:bCs/>
        </w:rPr>
        <w:lastRenderedPageBreak/>
        <w:t>Tristemente</w:t>
      </w:r>
      <w:r w:rsidRPr="00E3788F">
        <w:rPr>
          <w:rFonts w:ascii="Arial" w:hAnsi="Arial" w:cs="Arial"/>
          <w:bCs/>
        </w:rPr>
        <w:t xml:space="preserve"> </w:t>
      </w:r>
      <w:r>
        <w:rPr>
          <w:rFonts w:ascii="Arial" w:hAnsi="Arial" w:cs="Arial"/>
          <w:bCs/>
        </w:rPr>
        <w:t xml:space="preserve">muchas </w:t>
      </w:r>
      <w:r w:rsidRPr="00E3788F">
        <w:rPr>
          <w:rFonts w:ascii="Arial" w:hAnsi="Arial" w:cs="Arial"/>
          <w:bCs/>
        </w:rPr>
        <w:t xml:space="preserve">mujeres en México han sido víctimas de un sistema </w:t>
      </w:r>
      <w:r w:rsidR="00153228" w:rsidRPr="00153228">
        <w:rPr>
          <w:rFonts w:ascii="Arial" w:hAnsi="Arial" w:cs="Arial"/>
          <w:bCs/>
        </w:rPr>
        <w:t xml:space="preserve">que no solo las desprotege cuando sufren violencia, sino que además las castiga cuando intentan salvar su vida. Enfrentan no solo el terror de sus agresores, sino también la indiferencia de las instituciones y la </w:t>
      </w:r>
      <w:proofErr w:type="spellStart"/>
      <w:r w:rsidR="00153228" w:rsidRPr="00153228">
        <w:rPr>
          <w:rFonts w:ascii="Arial" w:hAnsi="Arial" w:cs="Arial"/>
          <w:bCs/>
        </w:rPr>
        <w:t>revictimización</w:t>
      </w:r>
      <w:proofErr w:type="spellEnd"/>
      <w:r w:rsidR="00153228" w:rsidRPr="00153228">
        <w:rPr>
          <w:rFonts w:ascii="Arial" w:hAnsi="Arial" w:cs="Arial"/>
          <w:bCs/>
        </w:rPr>
        <w:t xml:space="preserve"> de un sistema de justicia que las juzga más por sobrevivir que a sus agresores por violentarlas.</w:t>
      </w:r>
    </w:p>
    <w:p w:rsidR="00153228" w:rsidRDefault="00331BC1" w:rsidP="00B20A88">
      <w:pPr>
        <w:pStyle w:val="NormalWeb"/>
        <w:spacing w:line="360" w:lineRule="auto"/>
        <w:jc w:val="both"/>
        <w:rPr>
          <w:rFonts w:ascii="Arial" w:hAnsi="Arial" w:cs="Arial"/>
          <w:bCs/>
        </w:rPr>
      </w:pPr>
      <w:r>
        <w:rPr>
          <w:rFonts w:ascii="Arial" w:hAnsi="Arial" w:cs="Arial"/>
          <w:bCs/>
        </w:rPr>
        <w:t>Hoy, en la entidad mexiquense</w:t>
      </w:r>
      <w:r w:rsidR="00153228">
        <w:rPr>
          <w:rFonts w:ascii="Arial" w:hAnsi="Arial" w:cs="Arial"/>
          <w:bCs/>
        </w:rPr>
        <w:t xml:space="preserve"> tenemos</w:t>
      </w:r>
      <w:r w:rsidR="00E3788F" w:rsidRPr="00E3788F">
        <w:rPr>
          <w:rFonts w:ascii="Arial" w:hAnsi="Arial" w:cs="Arial"/>
          <w:bCs/>
        </w:rPr>
        <w:t xml:space="preserve"> la oportunidad de hacer justicia para quienes han vivido el horror de la violencia y han encontrado en la defensa propia la única alternativa para seguir con vida. </w:t>
      </w:r>
    </w:p>
    <w:p w:rsidR="001C1DC4" w:rsidRPr="00B20A88" w:rsidRDefault="00B20A88" w:rsidP="00B20A88">
      <w:pPr>
        <w:pStyle w:val="NormalWeb"/>
        <w:spacing w:line="360" w:lineRule="auto"/>
        <w:jc w:val="both"/>
        <w:rPr>
          <w:rFonts w:ascii="Arial" w:hAnsi="Arial" w:cs="Arial"/>
          <w:color w:val="000000"/>
          <w:lang w:eastAsia="en-US"/>
        </w:rPr>
      </w:pPr>
      <w:r w:rsidRPr="00B20A88">
        <w:rPr>
          <w:rFonts w:ascii="Arial" w:hAnsi="Arial" w:cs="Arial"/>
          <w:bCs/>
        </w:rPr>
        <w:t>Por</w:t>
      </w:r>
      <w:r w:rsidR="001C1DC4" w:rsidRPr="00B20A88">
        <w:rPr>
          <w:rFonts w:ascii="Arial" w:hAnsi="Arial" w:cs="Arial"/>
          <w:bCs/>
        </w:rPr>
        <w:t xml:space="preserve"> lo anteriormente expuesto</w:t>
      </w:r>
      <w:r w:rsidR="001C1DC4" w:rsidRPr="00B20A88">
        <w:rPr>
          <w:rFonts w:ascii="Arial" w:hAnsi="Arial" w:cs="Arial"/>
        </w:rPr>
        <w:t xml:space="preserve">, </w:t>
      </w:r>
      <w:r w:rsidR="001C1DC4" w:rsidRPr="00B20A88">
        <w:rPr>
          <w:rFonts w:ascii="Arial" w:hAnsi="Arial" w:cs="Arial"/>
          <w:color w:val="000000"/>
          <w:lang w:eastAsia="en-US"/>
        </w:rPr>
        <w:t>fundamentado y motivado</w:t>
      </w:r>
      <w:r w:rsidR="001C1DC4" w:rsidRPr="00B20A88">
        <w:rPr>
          <w:rFonts w:ascii="Arial" w:hAnsi="Arial" w:cs="Arial"/>
        </w:rPr>
        <w:t xml:space="preserve"> se somete</w:t>
      </w:r>
      <w:r w:rsidR="001C1DC4" w:rsidRPr="00B20A88">
        <w:rPr>
          <w:rFonts w:ascii="Arial" w:hAnsi="Arial" w:cs="Arial"/>
          <w:color w:val="000000"/>
          <w:lang w:eastAsia="en-US"/>
        </w:rPr>
        <w:t xml:space="preserve"> a la consideración de esta H. Soberanía, el siguiente: </w:t>
      </w:r>
    </w:p>
    <w:p w:rsidR="001C1DC4" w:rsidRPr="007C1CE7" w:rsidRDefault="001C1DC4" w:rsidP="001C1DC4">
      <w:pPr>
        <w:pStyle w:val="NormalWeb"/>
        <w:spacing w:line="360" w:lineRule="auto"/>
        <w:jc w:val="both"/>
        <w:rPr>
          <w:rFonts w:ascii="Arial" w:hAnsi="Arial" w:cs="Arial"/>
          <w:color w:val="000000"/>
        </w:rPr>
      </w:pPr>
    </w:p>
    <w:p w:rsidR="001121D9" w:rsidRDefault="001121D9" w:rsidP="001121D9">
      <w:pPr>
        <w:spacing w:line="360" w:lineRule="auto"/>
        <w:jc w:val="center"/>
        <w:rPr>
          <w:rFonts w:ascii="Arial" w:hAnsi="Arial" w:cs="Arial"/>
          <w:b/>
          <w:color w:val="000000"/>
          <w:sz w:val="24"/>
          <w:szCs w:val="24"/>
        </w:rPr>
      </w:pPr>
    </w:p>
    <w:p w:rsidR="001121D9" w:rsidRPr="006812C2" w:rsidRDefault="001C1DC4" w:rsidP="001121D9">
      <w:pPr>
        <w:spacing w:line="360" w:lineRule="auto"/>
        <w:jc w:val="center"/>
        <w:rPr>
          <w:rFonts w:ascii="Arial" w:hAnsi="Arial" w:cs="Arial"/>
          <w:b/>
          <w:color w:val="000000"/>
          <w:sz w:val="24"/>
          <w:szCs w:val="24"/>
        </w:rPr>
      </w:pPr>
      <w:r w:rsidRPr="006812C2">
        <w:rPr>
          <w:rFonts w:ascii="Arial" w:hAnsi="Arial" w:cs="Arial"/>
          <w:b/>
          <w:color w:val="000000"/>
          <w:sz w:val="24"/>
          <w:szCs w:val="24"/>
        </w:rPr>
        <w:t>PROYECTO DE DECRETO</w:t>
      </w:r>
    </w:p>
    <w:p w:rsidR="001C1DC4" w:rsidRPr="006812C2" w:rsidRDefault="001C1DC4" w:rsidP="001C1DC4">
      <w:pPr>
        <w:spacing w:line="360" w:lineRule="auto"/>
        <w:jc w:val="both"/>
        <w:rPr>
          <w:rFonts w:ascii="Arial" w:hAnsi="Arial" w:cs="Arial"/>
          <w:b/>
          <w:color w:val="000000"/>
          <w:sz w:val="24"/>
          <w:szCs w:val="24"/>
        </w:rPr>
      </w:pPr>
      <w:r w:rsidRPr="006812C2">
        <w:rPr>
          <w:rFonts w:ascii="Arial" w:hAnsi="Arial" w:cs="Arial"/>
          <w:b/>
          <w:color w:val="000000"/>
          <w:sz w:val="24"/>
          <w:szCs w:val="24"/>
        </w:rPr>
        <w:t>DECRETO NÚMERO__</w:t>
      </w:r>
    </w:p>
    <w:p w:rsidR="001C1DC4" w:rsidRDefault="001C1DC4" w:rsidP="001C1DC4">
      <w:pPr>
        <w:spacing w:line="360" w:lineRule="auto"/>
        <w:jc w:val="both"/>
        <w:rPr>
          <w:rFonts w:ascii="Arial" w:hAnsi="Arial" w:cs="Arial"/>
          <w:b/>
          <w:color w:val="000000"/>
          <w:sz w:val="24"/>
          <w:szCs w:val="24"/>
        </w:rPr>
      </w:pPr>
      <w:r w:rsidRPr="006812C2">
        <w:rPr>
          <w:rFonts w:ascii="Arial" w:hAnsi="Arial" w:cs="Arial"/>
          <w:b/>
          <w:color w:val="000000"/>
          <w:sz w:val="24"/>
          <w:szCs w:val="24"/>
        </w:rPr>
        <w:t>LA H. “LXII” LEGISLATURA DEL ESTADO DE MÉXICO</w:t>
      </w:r>
    </w:p>
    <w:p w:rsidR="001C1DC4" w:rsidRPr="006812C2" w:rsidRDefault="001C1DC4" w:rsidP="001C1DC4">
      <w:pPr>
        <w:spacing w:line="360" w:lineRule="auto"/>
        <w:jc w:val="both"/>
        <w:rPr>
          <w:rFonts w:ascii="Arial" w:hAnsi="Arial" w:cs="Arial"/>
          <w:b/>
          <w:color w:val="000000"/>
          <w:sz w:val="24"/>
          <w:szCs w:val="24"/>
        </w:rPr>
      </w:pPr>
    </w:p>
    <w:p w:rsidR="001C1DC4" w:rsidRPr="006812C2" w:rsidRDefault="001C1DC4" w:rsidP="001C1DC4">
      <w:pPr>
        <w:spacing w:line="360" w:lineRule="auto"/>
        <w:jc w:val="both"/>
        <w:rPr>
          <w:rFonts w:ascii="Arial" w:hAnsi="Arial" w:cs="Arial"/>
          <w:b/>
          <w:color w:val="000000"/>
          <w:sz w:val="24"/>
          <w:szCs w:val="24"/>
        </w:rPr>
      </w:pPr>
      <w:r w:rsidRPr="006812C2">
        <w:rPr>
          <w:rFonts w:ascii="Arial" w:hAnsi="Arial" w:cs="Arial"/>
          <w:b/>
          <w:color w:val="000000"/>
          <w:sz w:val="24"/>
          <w:szCs w:val="24"/>
        </w:rPr>
        <w:t>DECRETA:</w:t>
      </w:r>
    </w:p>
    <w:p w:rsidR="00D02778" w:rsidRDefault="00D02778" w:rsidP="00D02778">
      <w:pPr>
        <w:spacing w:line="360" w:lineRule="auto"/>
        <w:jc w:val="both"/>
        <w:rPr>
          <w:rFonts w:ascii="Arial" w:hAnsi="Arial" w:cs="Arial"/>
          <w:color w:val="000000"/>
          <w:sz w:val="24"/>
          <w:szCs w:val="24"/>
          <w:shd w:val="clear" w:color="auto" w:fill="FFFFFF"/>
        </w:rPr>
      </w:pPr>
      <w:r w:rsidRPr="00D02778">
        <w:rPr>
          <w:rStyle w:val="negritas"/>
          <w:rFonts w:ascii="Arial" w:hAnsi="Arial" w:cs="Arial"/>
          <w:b/>
          <w:bCs/>
          <w:color w:val="000000"/>
          <w:sz w:val="24"/>
          <w:szCs w:val="24"/>
          <w:shd w:val="clear" w:color="auto" w:fill="FFFFFF"/>
        </w:rPr>
        <w:t>Artículo Único</w:t>
      </w:r>
      <w:r w:rsidRPr="00D02778">
        <w:rPr>
          <w:rFonts w:ascii="Arial" w:hAnsi="Arial" w:cs="Arial"/>
          <w:color w:val="000000"/>
          <w:sz w:val="24"/>
          <w:szCs w:val="24"/>
          <w:shd w:val="clear" w:color="auto" w:fill="FFFFFF"/>
        </w:rPr>
        <w:t xml:space="preserve">. </w:t>
      </w:r>
      <w:r w:rsidRPr="00D02778">
        <w:rPr>
          <w:rFonts w:ascii="Arial" w:hAnsi="Arial" w:cs="Arial"/>
          <w:bCs/>
          <w:color w:val="000000"/>
          <w:sz w:val="24"/>
          <w:szCs w:val="24"/>
          <w:shd w:val="clear" w:color="auto" w:fill="FFFFFF"/>
        </w:rPr>
        <w:t>Se</w:t>
      </w:r>
      <w:r w:rsidRPr="004B1081">
        <w:rPr>
          <w:rFonts w:ascii="Arial" w:hAnsi="Arial" w:cs="Arial"/>
          <w:b/>
          <w:bCs/>
          <w:color w:val="000000"/>
          <w:sz w:val="24"/>
          <w:szCs w:val="24"/>
          <w:shd w:val="clear" w:color="auto" w:fill="FFFFFF"/>
        </w:rPr>
        <w:t xml:space="preserve"> reforma </w:t>
      </w:r>
      <w:r w:rsidRPr="00D02778">
        <w:rPr>
          <w:rFonts w:ascii="Arial" w:hAnsi="Arial" w:cs="Arial"/>
          <w:bCs/>
          <w:color w:val="000000"/>
          <w:sz w:val="24"/>
          <w:szCs w:val="24"/>
          <w:shd w:val="clear" w:color="auto" w:fill="FFFFFF"/>
        </w:rPr>
        <w:t xml:space="preserve">el segundo párrafo </w:t>
      </w:r>
      <w:r>
        <w:rPr>
          <w:rFonts w:ascii="Arial" w:hAnsi="Arial" w:cs="Arial"/>
          <w:bCs/>
          <w:color w:val="000000"/>
          <w:sz w:val="24"/>
          <w:szCs w:val="24"/>
          <w:shd w:val="clear" w:color="auto" w:fill="FFFFFF"/>
        </w:rPr>
        <w:t xml:space="preserve">y se </w:t>
      </w:r>
      <w:r w:rsidRPr="004B1081">
        <w:rPr>
          <w:rFonts w:ascii="Arial" w:hAnsi="Arial" w:cs="Arial"/>
          <w:b/>
          <w:bCs/>
          <w:color w:val="000000"/>
          <w:sz w:val="24"/>
          <w:szCs w:val="24"/>
          <w:shd w:val="clear" w:color="auto" w:fill="FFFFFF"/>
        </w:rPr>
        <w:t>adiciona</w:t>
      </w:r>
      <w:r w:rsidR="004B1081" w:rsidRPr="004B1081">
        <w:rPr>
          <w:rFonts w:ascii="Arial" w:hAnsi="Arial" w:cs="Arial"/>
          <w:b/>
          <w:bCs/>
          <w:color w:val="000000"/>
          <w:sz w:val="24"/>
          <w:szCs w:val="24"/>
          <w:shd w:val="clear" w:color="auto" w:fill="FFFFFF"/>
        </w:rPr>
        <w:t>n</w:t>
      </w:r>
      <w:r w:rsidRPr="004B1081">
        <w:rPr>
          <w:rFonts w:ascii="Arial" w:hAnsi="Arial" w:cs="Arial"/>
          <w:b/>
          <w:bCs/>
          <w:color w:val="000000"/>
          <w:sz w:val="24"/>
          <w:szCs w:val="24"/>
          <w:shd w:val="clear" w:color="auto" w:fill="FFFFFF"/>
        </w:rPr>
        <w:t xml:space="preserve"> </w:t>
      </w:r>
      <w:r>
        <w:rPr>
          <w:rFonts w:ascii="Arial" w:hAnsi="Arial" w:cs="Arial"/>
          <w:bCs/>
          <w:color w:val="000000"/>
          <w:sz w:val="24"/>
          <w:szCs w:val="24"/>
          <w:shd w:val="clear" w:color="auto" w:fill="FFFFFF"/>
        </w:rPr>
        <w:t xml:space="preserve">un tercer párrafo </w:t>
      </w:r>
      <w:r w:rsidRPr="00D02778">
        <w:rPr>
          <w:rFonts w:ascii="Arial" w:hAnsi="Arial" w:cs="Arial"/>
          <w:bCs/>
          <w:color w:val="000000"/>
          <w:sz w:val="24"/>
          <w:szCs w:val="24"/>
          <w:shd w:val="clear" w:color="auto" w:fill="FFFFFF"/>
        </w:rPr>
        <w:t xml:space="preserve">del inciso b, de la fracción III del Artículo 15 </w:t>
      </w:r>
      <w:r w:rsidR="004B1081">
        <w:rPr>
          <w:rFonts w:ascii="Arial" w:hAnsi="Arial" w:cs="Arial"/>
          <w:bCs/>
          <w:color w:val="000000"/>
          <w:sz w:val="24"/>
          <w:szCs w:val="24"/>
          <w:shd w:val="clear" w:color="auto" w:fill="FFFFFF"/>
        </w:rPr>
        <w:t xml:space="preserve">y un artículo 67 Bis </w:t>
      </w:r>
      <w:r w:rsidRPr="00D02778">
        <w:rPr>
          <w:rFonts w:ascii="Arial" w:hAnsi="Arial" w:cs="Arial"/>
          <w:bCs/>
          <w:color w:val="000000"/>
          <w:sz w:val="24"/>
          <w:szCs w:val="24"/>
          <w:shd w:val="clear" w:color="auto" w:fill="FFFFFF"/>
        </w:rPr>
        <w:t>del Código Penal del Estado de México</w:t>
      </w:r>
      <w:r w:rsidRPr="00D02778">
        <w:rPr>
          <w:rFonts w:ascii="Arial" w:hAnsi="Arial" w:cs="Arial"/>
          <w:color w:val="000000"/>
          <w:sz w:val="24"/>
          <w:szCs w:val="24"/>
          <w:shd w:val="clear" w:color="auto" w:fill="FFFFFF"/>
        </w:rPr>
        <w:t>, para quedar como sigue:</w:t>
      </w:r>
    </w:p>
    <w:p w:rsidR="003C7FE0" w:rsidRPr="00D02778" w:rsidRDefault="003C7FE0" w:rsidP="00D02778">
      <w:pPr>
        <w:spacing w:line="360" w:lineRule="auto"/>
        <w:jc w:val="both"/>
        <w:rPr>
          <w:rFonts w:ascii="Arial" w:hAnsi="Arial" w:cs="Arial"/>
          <w:color w:val="000000"/>
          <w:sz w:val="24"/>
          <w:szCs w:val="24"/>
          <w:shd w:val="clear" w:color="auto" w:fill="FFFFFF"/>
        </w:rPr>
      </w:pPr>
    </w:p>
    <w:p w:rsidR="00D02778" w:rsidRPr="00D02778" w:rsidRDefault="00D02778" w:rsidP="00D02778">
      <w:pPr>
        <w:spacing w:line="360" w:lineRule="auto"/>
        <w:jc w:val="both"/>
        <w:rPr>
          <w:rFonts w:ascii="Arial" w:hAnsi="Arial" w:cs="Arial"/>
          <w:color w:val="000000"/>
          <w:sz w:val="24"/>
          <w:szCs w:val="24"/>
          <w:shd w:val="clear" w:color="auto" w:fill="FFFFFF"/>
        </w:rPr>
      </w:pPr>
      <w:r w:rsidRPr="00D02778">
        <w:rPr>
          <w:rFonts w:ascii="Arial" w:hAnsi="Arial" w:cs="Arial"/>
          <w:b/>
          <w:color w:val="000000"/>
          <w:sz w:val="24"/>
          <w:szCs w:val="24"/>
          <w:shd w:val="clear" w:color="auto" w:fill="FFFFFF"/>
        </w:rPr>
        <w:t xml:space="preserve">Artículo 15. </w:t>
      </w:r>
      <w:r w:rsidRPr="00D02778">
        <w:rPr>
          <w:rFonts w:ascii="Arial" w:hAnsi="Arial" w:cs="Arial"/>
          <w:bCs/>
          <w:color w:val="000000"/>
          <w:sz w:val="24"/>
          <w:szCs w:val="24"/>
          <w:shd w:val="clear" w:color="auto" w:fill="FFFFFF"/>
        </w:rPr>
        <w:t>Son causas que excluyen el delito y la responsabilidad penal</w:t>
      </w:r>
      <w:r w:rsidRPr="00D02778">
        <w:rPr>
          <w:rFonts w:ascii="Arial" w:hAnsi="Arial" w:cs="Arial"/>
          <w:b/>
          <w:color w:val="000000"/>
          <w:sz w:val="24"/>
          <w:szCs w:val="24"/>
          <w:shd w:val="clear" w:color="auto" w:fill="FFFFFF"/>
        </w:rPr>
        <w:t>:</w:t>
      </w:r>
    </w:p>
    <w:p w:rsidR="00D02778" w:rsidRPr="00D02778" w:rsidRDefault="00D02778" w:rsidP="00D02778">
      <w:pPr>
        <w:spacing w:line="360" w:lineRule="auto"/>
        <w:jc w:val="both"/>
        <w:rPr>
          <w:rFonts w:ascii="Arial" w:hAnsi="Arial" w:cs="Arial"/>
          <w:color w:val="000000"/>
          <w:sz w:val="24"/>
          <w:szCs w:val="24"/>
          <w:shd w:val="clear" w:color="auto" w:fill="FFFFFF"/>
        </w:rPr>
      </w:pPr>
      <w:r w:rsidRPr="00D02778">
        <w:rPr>
          <w:rFonts w:ascii="Arial" w:hAnsi="Arial" w:cs="Arial"/>
          <w:color w:val="000000"/>
          <w:sz w:val="24"/>
          <w:szCs w:val="24"/>
          <w:shd w:val="clear" w:color="auto" w:fill="FFFFFF"/>
        </w:rPr>
        <w:lastRenderedPageBreak/>
        <w:t>I a la III. …</w:t>
      </w:r>
    </w:p>
    <w:p w:rsidR="00D02778" w:rsidRPr="00D02778" w:rsidRDefault="00D02778" w:rsidP="00D02778">
      <w:pPr>
        <w:spacing w:line="360" w:lineRule="auto"/>
        <w:jc w:val="both"/>
        <w:rPr>
          <w:rFonts w:ascii="Arial" w:hAnsi="Arial" w:cs="Arial"/>
          <w:color w:val="000000"/>
          <w:sz w:val="24"/>
          <w:szCs w:val="24"/>
          <w:shd w:val="clear" w:color="auto" w:fill="FFFFFF"/>
        </w:rPr>
      </w:pPr>
      <w:r w:rsidRPr="00D02778">
        <w:rPr>
          <w:rFonts w:ascii="Arial" w:hAnsi="Arial" w:cs="Arial"/>
          <w:color w:val="000000"/>
          <w:sz w:val="24"/>
          <w:szCs w:val="24"/>
          <w:shd w:val="clear" w:color="auto" w:fill="FFFFFF"/>
        </w:rPr>
        <w:t xml:space="preserve">a) … </w:t>
      </w:r>
    </w:p>
    <w:p w:rsidR="00D02778" w:rsidRPr="00D02778" w:rsidRDefault="00D02778" w:rsidP="00D02778">
      <w:pPr>
        <w:spacing w:line="360" w:lineRule="auto"/>
        <w:jc w:val="both"/>
        <w:rPr>
          <w:rFonts w:ascii="Arial" w:hAnsi="Arial" w:cs="Arial"/>
          <w:color w:val="000000"/>
          <w:sz w:val="24"/>
          <w:szCs w:val="24"/>
          <w:shd w:val="clear" w:color="auto" w:fill="FFFFFF"/>
        </w:rPr>
      </w:pPr>
      <w:r w:rsidRPr="00D02778">
        <w:rPr>
          <w:rFonts w:ascii="Arial" w:hAnsi="Arial" w:cs="Arial"/>
          <w:color w:val="000000"/>
          <w:sz w:val="24"/>
          <w:szCs w:val="24"/>
          <w:shd w:val="clear" w:color="auto" w:fill="FFFFFF"/>
        </w:rPr>
        <w:t xml:space="preserve">1. a 3. … </w:t>
      </w:r>
    </w:p>
    <w:p w:rsidR="00D02778" w:rsidRDefault="00D02778" w:rsidP="00D02778">
      <w:pPr>
        <w:spacing w:line="360" w:lineRule="auto"/>
        <w:jc w:val="both"/>
        <w:rPr>
          <w:rFonts w:ascii="Arial" w:hAnsi="Arial" w:cs="Arial"/>
          <w:color w:val="000000"/>
          <w:sz w:val="24"/>
          <w:szCs w:val="24"/>
          <w:shd w:val="clear" w:color="auto" w:fill="FFFFFF"/>
        </w:rPr>
      </w:pPr>
      <w:r w:rsidRPr="00D02778">
        <w:rPr>
          <w:rFonts w:ascii="Arial" w:hAnsi="Arial" w:cs="Arial"/>
          <w:color w:val="000000"/>
          <w:sz w:val="24"/>
          <w:szCs w:val="24"/>
          <w:shd w:val="clear" w:color="auto" w:fill="FFFFFF"/>
        </w:rPr>
        <w:t>b) ...</w:t>
      </w:r>
    </w:p>
    <w:p w:rsidR="003C7FE0" w:rsidRPr="00D02778" w:rsidRDefault="003C7FE0" w:rsidP="00D02778">
      <w:pPr>
        <w:spacing w:line="360" w:lineRule="auto"/>
        <w:jc w:val="both"/>
        <w:rPr>
          <w:rFonts w:ascii="Arial" w:hAnsi="Arial" w:cs="Arial"/>
          <w:color w:val="000000"/>
          <w:sz w:val="24"/>
          <w:szCs w:val="24"/>
          <w:shd w:val="clear" w:color="auto" w:fill="FFFFFF"/>
        </w:rPr>
      </w:pPr>
    </w:p>
    <w:p w:rsidR="00D02778" w:rsidRPr="00D02778" w:rsidRDefault="00D02778" w:rsidP="00D02778">
      <w:pPr>
        <w:spacing w:line="360" w:lineRule="auto"/>
        <w:jc w:val="both"/>
        <w:rPr>
          <w:rFonts w:ascii="Arial" w:hAnsi="Arial" w:cs="Arial"/>
          <w:color w:val="000000"/>
          <w:sz w:val="24"/>
          <w:szCs w:val="24"/>
          <w:shd w:val="clear" w:color="auto" w:fill="FFFFFF"/>
        </w:rPr>
      </w:pPr>
      <w:r w:rsidRPr="00D02778">
        <w:rPr>
          <w:rFonts w:ascii="Arial" w:hAnsi="Arial" w:cs="Arial"/>
          <w:color w:val="000000"/>
          <w:sz w:val="24"/>
          <w:szCs w:val="24"/>
          <w:shd w:val="clear" w:color="auto" w:fill="FFFFFF"/>
        </w:rPr>
        <w:t xml:space="preserve">Se presumirá como defensa legítima, salvo prueba en contrario, el hecho de causar daño, </w:t>
      </w:r>
      <w:r>
        <w:rPr>
          <w:rFonts w:ascii="Arial" w:hAnsi="Arial" w:cs="Arial"/>
          <w:b/>
          <w:bCs/>
          <w:color w:val="000000"/>
          <w:sz w:val="24"/>
          <w:szCs w:val="24"/>
          <w:shd w:val="clear" w:color="auto" w:fill="FFFFFF"/>
        </w:rPr>
        <w:t>lesión o privación</w:t>
      </w:r>
      <w:r w:rsidRPr="00D02778">
        <w:rPr>
          <w:rFonts w:ascii="Arial" w:hAnsi="Arial" w:cs="Arial"/>
          <w:b/>
          <w:bCs/>
          <w:color w:val="000000"/>
          <w:sz w:val="24"/>
          <w:szCs w:val="24"/>
          <w:shd w:val="clear" w:color="auto" w:fill="FFFFFF"/>
        </w:rPr>
        <w:t xml:space="preserve"> de la vida</w:t>
      </w:r>
      <w:r w:rsidRPr="00D02778">
        <w:rPr>
          <w:rFonts w:ascii="Arial" w:hAnsi="Arial" w:cs="Arial"/>
          <w:color w:val="000000"/>
          <w:sz w:val="24"/>
          <w:szCs w:val="24"/>
          <w:shd w:val="clear" w:color="auto" w:fill="FFFFFF"/>
        </w:rPr>
        <w:t xml:space="preserve"> a quien por cualquier medio trata de penetrar o haya penetrado sin derecho al hogar del agente, al de su familia, o sus dependencias o a los de cualquier persona que tenga la obligación de defender, al sitio donde se encuentren bienes propios o ajenos, respecto de los que exista la misma obligación; o lo encuentre en alguno de aquellos lugares en circunstancias tales que revelen la probabilidad de una agresión.</w:t>
      </w:r>
    </w:p>
    <w:p w:rsidR="00D02778" w:rsidRPr="00D02778" w:rsidRDefault="00D02778" w:rsidP="00D02778">
      <w:pPr>
        <w:spacing w:line="360" w:lineRule="auto"/>
        <w:jc w:val="both"/>
        <w:rPr>
          <w:rFonts w:ascii="Arial" w:hAnsi="Arial" w:cs="Arial"/>
          <w:b/>
          <w:color w:val="000000"/>
          <w:sz w:val="24"/>
          <w:szCs w:val="24"/>
          <w:shd w:val="clear" w:color="auto" w:fill="FFFFFF"/>
        </w:rPr>
      </w:pPr>
      <w:r w:rsidRPr="00D02778">
        <w:rPr>
          <w:rFonts w:ascii="Arial" w:hAnsi="Arial" w:cs="Arial"/>
          <w:b/>
          <w:color w:val="000000"/>
          <w:sz w:val="24"/>
          <w:szCs w:val="24"/>
          <w:shd w:val="clear" w:color="auto" w:fill="FFFFFF"/>
        </w:rPr>
        <w:t xml:space="preserve">También se presumirá la legítima defensa, salvo prueba en contrario, en caso de que la mujer sea víctima de violencia física, sexual o feminicida, o en el hecho haya estado en peligro de serlo y repela la agresión. En estos casos la </w:t>
      </w:r>
      <w:proofErr w:type="gramStart"/>
      <w:r w:rsidRPr="00D02778">
        <w:rPr>
          <w:rFonts w:ascii="Arial" w:hAnsi="Arial" w:cs="Arial"/>
          <w:b/>
          <w:color w:val="000000"/>
          <w:sz w:val="24"/>
          <w:szCs w:val="24"/>
          <w:shd w:val="clear" w:color="auto" w:fill="FFFFFF"/>
        </w:rPr>
        <w:t>Fiscalía General</w:t>
      </w:r>
      <w:proofErr w:type="gramEnd"/>
      <w:r w:rsidRPr="00D02778">
        <w:rPr>
          <w:rFonts w:ascii="Arial" w:hAnsi="Arial" w:cs="Arial"/>
          <w:b/>
          <w:color w:val="000000"/>
          <w:sz w:val="24"/>
          <w:szCs w:val="24"/>
          <w:shd w:val="clear" w:color="auto" w:fill="FFFFFF"/>
        </w:rPr>
        <w:t xml:space="preserve"> del Estado o el órgano jurisdiccional, según corresponda, deberán actuar con perspectiva de género para determinar la procedencia de la legítima defensa. Mismo criterio se aplicará cuando una tercera persona actúe en defensa de ella.</w:t>
      </w:r>
    </w:p>
    <w:p w:rsidR="00D02778" w:rsidRPr="00D02778" w:rsidRDefault="00D02778" w:rsidP="00D02778">
      <w:pPr>
        <w:spacing w:line="360" w:lineRule="auto"/>
        <w:jc w:val="both"/>
        <w:rPr>
          <w:rFonts w:ascii="Arial" w:hAnsi="Arial" w:cs="Arial"/>
          <w:color w:val="000000"/>
          <w:sz w:val="24"/>
          <w:szCs w:val="24"/>
          <w:shd w:val="clear" w:color="auto" w:fill="FFFFFF"/>
        </w:rPr>
      </w:pPr>
    </w:p>
    <w:p w:rsidR="00D02778" w:rsidRPr="00D02778" w:rsidRDefault="00D02778" w:rsidP="00D02778">
      <w:pPr>
        <w:spacing w:line="360" w:lineRule="auto"/>
        <w:jc w:val="both"/>
        <w:rPr>
          <w:rFonts w:ascii="Arial" w:hAnsi="Arial" w:cs="Arial"/>
          <w:color w:val="000000"/>
          <w:sz w:val="24"/>
          <w:szCs w:val="24"/>
          <w:shd w:val="clear" w:color="auto" w:fill="FFFFFF"/>
        </w:rPr>
      </w:pPr>
      <w:r w:rsidRPr="00D02778">
        <w:rPr>
          <w:rFonts w:ascii="Arial" w:hAnsi="Arial" w:cs="Arial"/>
          <w:color w:val="000000"/>
          <w:sz w:val="24"/>
          <w:szCs w:val="24"/>
          <w:shd w:val="clear" w:color="auto" w:fill="FFFFFF"/>
        </w:rPr>
        <w:t>IV. …</w:t>
      </w:r>
    </w:p>
    <w:p w:rsidR="00D02778" w:rsidRDefault="00D02778" w:rsidP="00D02778">
      <w:pPr>
        <w:spacing w:line="360" w:lineRule="auto"/>
        <w:jc w:val="both"/>
        <w:rPr>
          <w:rFonts w:ascii="Arial" w:hAnsi="Arial" w:cs="Arial"/>
        </w:rPr>
      </w:pPr>
    </w:p>
    <w:p w:rsidR="003F74C4" w:rsidRPr="00331BC1" w:rsidRDefault="004B1081" w:rsidP="00D02778">
      <w:pPr>
        <w:spacing w:line="360" w:lineRule="auto"/>
        <w:jc w:val="both"/>
        <w:rPr>
          <w:rFonts w:ascii="Arial" w:hAnsi="Arial" w:cs="Arial"/>
          <w:b/>
          <w:sz w:val="24"/>
          <w:szCs w:val="24"/>
        </w:rPr>
      </w:pPr>
      <w:r w:rsidRPr="004B1081">
        <w:rPr>
          <w:rFonts w:ascii="Arial" w:hAnsi="Arial" w:cs="Arial"/>
          <w:b/>
          <w:sz w:val="24"/>
          <w:szCs w:val="24"/>
        </w:rPr>
        <w:t xml:space="preserve">Artículo 67 Bis. No se considerará exceso en la legítima defensa cuando la mujer sea víctima de violencia física, sexual o feminicida, o en el hecho haya </w:t>
      </w:r>
      <w:r w:rsidRPr="004B1081">
        <w:rPr>
          <w:rFonts w:ascii="Arial" w:hAnsi="Arial" w:cs="Arial"/>
          <w:b/>
          <w:sz w:val="24"/>
          <w:szCs w:val="24"/>
        </w:rPr>
        <w:lastRenderedPageBreak/>
        <w:t>estado en peligro de serlo y al momento en que ésta se concretice acredite haber estado en un estado miedo o terror o se encuentren en un estado de confusión que afecte su capacidad para determinar el límite adecuado de su respuesta o la racionalidad de los medios empleados.</w:t>
      </w:r>
    </w:p>
    <w:p w:rsidR="003F74C4" w:rsidRPr="00F94E44" w:rsidRDefault="003F74C4" w:rsidP="00D02778">
      <w:pPr>
        <w:spacing w:line="360" w:lineRule="auto"/>
        <w:jc w:val="both"/>
        <w:rPr>
          <w:rFonts w:ascii="Arial" w:hAnsi="Arial" w:cs="Arial"/>
        </w:rPr>
      </w:pPr>
    </w:p>
    <w:p w:rsidR="001C1DC4" w:rsidRPr="006812C2" w:rsidRDefault="001C1DC4" w:rsidP="001C1DC4">
      <w:pPr>
        <w:pStyle w:val="Textosinformato"/>
        <w:tabs>
          <w:tab w:val="right" w:leader="dot" w:pos="8828"/>
        </w:tabs>
        <w:spacing w:line="360" w:lineRule="auto"/>
        <w:jc w:val="center"/>
        <w:rPr>
          <w:rStyle w:val="Textoennegrita"/>
          <w:rFonts w:ascii="Arial" w:eastAsia="Arial" w:hAnsi="Arial" w:cs="Arial"/>
          <w:sz w:val="24"/>
          <w:szCs w:val="24"/>
        </w:rPr>
      </w:pPr>
      <w:r w:rsidRPr="006812C2">
        <w:rPr>
          <w:rStyle w:val="Textoennegrita"/>
          <w:rFonts w:ascii="Arial" w:eastAsia="Arial" w:hAnsi="Arial" w:cs="Arial"/>
          <w:sz w:val="24"/>
          <w:szCs w:val="24"/>
        </w:rPr>
        <w:t>ARTÍCULOS TRANSITORIOS</w:t>
      </w:r>
    </w:p>
    <w:p w:rsidR="001C1DC4" w:rsidRPr="006812C2" w:rsidRDefault="001C1DC4" w:rsidP="001C1DC4">
      <w:pPr>
        <w:pStyle w:val="Textosinformato"/>
        <w:tabs>
          <w:tab w:val="right" w:leader="dot" w:pos="8828"/>
        </w:tabs>
        <w:spacing w:line="360" w:lineRule="auto"/>
        <w:jc w:val="center"/>
        <w:rPr>
          <w:rFonts w:ascii="Arial" w:hAnsi="Arial" w:cs="Arial"/>
          <w:sz w:val="24"/>
          <w:szCs w:val="24"/>
        </w:rPr>
      </w:pPr>
    </w:p>
    <w:p w:rsidR="001C1DC4" w:rsidRPr="006812C2" w:rsidRDefault="001C1DC4" w:rsidP="001C1DC4">
      <w:pPr>
        <w:shd w:val="clear" w:color="auto" w:fill="FFFFFF"/>
        <w:spacing w:before="100" w:beforeAutospacing="1" w:after="100" w:afterAutospacing="1" w:line="360" w:lineRule="auto"/>
        <w:contextualSpacing/>
        <w:jc w:val="both"/>
        <w:rPr>
          <w:rFonts w:ascii="Arial" w:eastAsia="Arial" w:hAnsi="Arial" w:cs="Arial"/>
          <w:bCs/>
          <w:sz w:val="24"/>
          <w:szCs w:val="24"/>
          <w:lang w:val="es-ES"/>
        </w:rPr>
      </w:pPr>
      <w:r w:rsidRPr="006812C2">
        <w:rPr>
          <w:rFonts w:ascii="Arial" w:eastAsia="Arial" w:hAnsi="Arial" w:cs="Arial"/>
          <w:b/>
          <w:bCs/>
          <w:sz w:val="24"/>
          <w:szCs w:val="24"/>
          <w:lang w:val="es-ES"/>
        </w:rPr>
        <w:t xml:space="preserve">PRIMERO. </w:t>
      </w:r>
      <w:r w:rsidRPr="006812C2">
        <w:rPr>
          <w:rFonts w:ascii="Arial" w:eastAsia="Arial" w:hAnsi="Arial" w:cs="Arial"/>
          <w:bCs/>
          <w:sz w:val="24"/>
          <w:szCs w:val="24"/>
          <w:lang w:val="es-ES"/>
        </w:rPr>
        <w:t>Publíquese el presente Decreto en el periódico oficial “Gaceta del Gobierno”.</w:t>
      </w:r>
    </w:p>
    <w:p w:rsidR="001C1DC4" w:rsidRPr="006812C2" w:rsidRDefault="001C1DC4" w:rsidP="001C1DC4">
      <w:pPr>
        <w:shd w:val="clear" w:color="auto" w:fill="FFFFFF"/>
        <w:spacing w:before="100" w:beforeAutospacing="1" w:after="100" w:afterAutospacing="1" w:line="360" w:lineRule="auto"/>
        <w:contextualSpacing/>
        <w:jc w:val="both"/>
        <w:rPr>
          <w:rFonts w:ascii="Arial" w:eastAsia="Arial" w:hAnsi="Arial" w:cs="Arial"/>
          <w:bCs/>
          <w:sz w:val="24"/>
          <w:szCs w:val="24"/>
          <w:lang w:val="es-ES"/>
        </w:rPr>
      </w:pPr>
    </w:p>
    <w:p w:rsidR="001C1DC4" w:rsidRPr="006812C2" w:rsidRDefault="001C1DC4" w:rsidP="001C1DC4">
      <w:pPr>
        <w:shd w:val="clear" w:color="auto" w:fill="FFFFFF"/>
        <w:spacing w:before="100" w:beforeAutospacing="1" w:after="100" w:afterAutospacing="1" w:line="360" w:lineRule="auto"/>
        <w:contextualSpacing/>
        <w:jc w:val="both"/>
        <w:rPr>
          <w:rFonts w:ascii="Arial" w:eastAsia="Arial" w:hAnsi="Arial" w:cs="Arial"/>
          <w:bCs/>
          <w:sz w:val="24"/>
          <w:szCs w:val="24"/>
          <w:lang w:val="es-ES"/>
        </w:rPr>
      </w:pPr>
      <w:r w:rsidRPr="006812C2">
        <w:rPr>
          <w:rFonts w:ascii="Arial" w:eastAsia="Arial" w:hAnsi="Arial" w:cs="Arial"/>
          <w:b/>
          <w:bCs/>
          <w:sz w:val="24"/>
          <w:szCs w:val="24"/>
          <w:lang w:val="es-ES"/>
        </w:rPr>
        <w:t xml:space="preserve">SEGUNDO. </w:t>
      </w:r>
      <w:r w:rsidRPr="006812C2">
        <w:rPr>
          <w:rFonts w:ascii="Arial" w:eastAsia="Arial" w:hAnsi="Arial" w:cs="Arial"/>
          <w:bCs/>
          <w:sz w:val="24"/>
          <w:szCs w:val="24"/>
          <w:lang w:val="es-ES"/>
        </w:rPr>
        <w:t>El presente Decreto entrará en vigor al día siguiente de su publicación.</w:t>
      </w:r>
    </w:p>
    <w:p w:rsidR="001C1DC4" w:rsidRPr="00A96D2D" w:rsidRDefault="001C1DC4" w:rsidP="001C1DC4">
      <w:pPr>
        <w:pStyle w:val="NormalWeb"/>
        <w:shd w:val="clear" w:color="auto" w:fill="FFFFFF"/>
        <w:spacing w:line="360" w:lineRule="auto"/>
        <w:jc w:val="both"/>
        <w:rPr>
          <w:rFonts w:ascii="Arial" w:eastAsia="Arial" w:hAnsi="Arial" w:cs="Arial"/>
          <w:bCs/>
          <w:lang w:val="es-ES" w:eastAsia="en-US"/>
        </w:rPr>
      </w:pPr>
      <w:r w:rsidRPr="006812C2">
        <w:rPr>
          <w:rFonts w:ascii="Arial" w:eastAsia="Arial" w:hAnsi="Arial" w:cs="Arial"/>
          <w:b/>
          <w:lang w:val="es-ES" w:eastAsia="en-US"/>
        </w:rPr>
        <w:t xml:space="preserve">TERCERO. </w:t>
      </w:r>
      <w:r w:rsidRPr="006812C2">
        <w:rPr>
          <w:rFonts w:ascii="Arial" w:eastAsia="Arial" w:hAnsi="Arial" w:cs="Arial"/>
          <w:bCs/>
          <w:lang w:eastAsia="en-US"/>
        </w:rPr>
        <w:t>Se derogan las disposiciones jurídicas de igual o menor jerarquía que se opong</w:t>
      </w:r>
      <w:r>
        <w:rPr>
          <w:rFonts w:ascii="Arial" w:eastAsia="Arial" w:hAnsi="Arial" w:cs="Arial"/>
          <w:bCs/>
          <w:lang w:eastAsia="en-US"/>
        </w:rPr>
        <w:t xml:space="preserve">an a lo previsto en el presente Decreto. </w:t>
      </w:r>
    </w:p>
    <w:p w:rsidR="001C1DC4" w:rsidRPr="00F50CE6" w:rsidRDefault="001C1DC4" w:rsidP="00F50CE6">
      <w:pPr>
        <w:spacing w:line="340" w:lineRule="exact"/>
        <w:jc w:val="both"/>
        <w:rPr>
          <w:rFonts w:ascii="Arial" w:hAnsi="Arial" w:cs="Arial"/>
          <w:sz w:val="24"/>
          <w:szCs w:val="24"/>
        </w:rPr>
      </w:pPr>
      <w:r w:rsidRPr="006812C2">
        <w:rPr>
          <w:rFonts w:ascii="Arial" w:hAnsi="Arial" w:cs="Arial"/>
          <w:sz w:val="24"/>
          <w:szCs w:val="24"/>
        </w:rPr>
        <w:t>Dado en el Palacio del Poder Legislativo, en la Ciudad de Toluca, Capital del Estado de México, a los</w:t>
      </w:r>
      <w:r>
        <w:rPr>
          <w:rFonts w:ascii="Arial" w:hAnsi="Arial" w:cs="Arial"/>
          <w:sz w:val="24"/>
          <w:szCs w:val="24"/>
        </w:rPr>
        <w:t xml:space="preserve"> </w:t>
      </w:r>
      <w:r w:rsidR="005F40B5">
        <w:rPr>
          <w:rFonts w:ascii="Arial" w:hAnsi="Arial" w:cs="Arial"/>
          <w:sz w:val="24"/>
          <w:szCs w:val="24"/>
        </w:rPr>
        <w:t>12</w:t>
      </w:r>
      <w:r>
        <w:rPr>
          <w:rFonts w:ascii="Arial" w:hAnsi="Arial" w:cs="Arial"/>
          <w:sz w:val="24"/>
          <w:szCs w:val="24"/>
        </w:rPr>
        <w:t xml:space="preserve"> días del mes de marzo del año dos mil veinticinco</w:t>
      </w:r>
      <w:r w:rsidRPr="006812C2">
        <w:rPr>
          <w:rFonts w:ascii="Arial" w:hAnsi="Arial" w:cs="Arial"/>
          <w:sz w:val="24"/>
          <w:szCs w:val="24"/>
        </w:rPr>
        <w:t>.</w:t>
      </w:r>
    </w:p>
    <w:p w:rsidR="001C1DC4" w:rsidRDefault="001C1DC4" w:rsidP="001C1DC4">
      <w:pPr>
        <w:pBdr>
          <w:top w:val="nil"/>
          <w:left w:val="nil"/>
          <w:bottom w:val="nil"/>
          <w:right w:val="nil"/>
          <w:between w:val="nil"/>
          <w:bar w:val="nil"/>
        </w:pBdr>
        <w:shd w:val="clear" w:color="auto" w:fill="FFFFFF"/>
        <w:spacing w:before="100" w:beforeAutospacing="1" w:after="100" w:afterAutospacing="1" w:line="360" w:lineRule="auto"/>
        <w:contextualSpacing/>
        <w:jc w:val="center"/>
        <w:rPr>
          <w:rFonts w:ascii="Arial" w:eastAsia="Arial Unicode MS" w:hAnsi="Arial" w:cs="Arial"/>
          <w:b/>
          <w:sz w:val="24"/>
          <w:szCs w:val="24"/>
          <w:bdr w:val="nil"/>
        </w:rPr>
      </w:pPr>
    </w:p>
    <w:p w:rsidR="001121D9" w:rsidRDefault="001121D9" w:rsidP="001C1DC4">
      <w:pPr>
        <w:pBdr>
          <w:top w:val="nil"/>
          <w:left w:val="nil"/>
          <w:bottom w:val="nil"/>
          <w:right w:val="nil"/>
          <w:between w:val="nil"/>
          <w:bar w:val="nil"/>
        </w:pBdr>
        <w:shd w:val="clear" w:color="auto" w:fill="FFFFFF"/>
        <w:spacing w:before="100" w:beforeAutospacing="1" w:after="100" w:afterAutospacing="1" w:line="360" w:lineRule="auto"/>
        <w:contextualSpacing/>
        <w:jc w:val="center"/>
        <w:rPr>
          <w:rFonts w:ascii="Arial" w:eastAsia="Arial Unicode MS" w:hAnsi="Arial" w:cs="Arial"/>
          <w:b/>
          <w:sz w:val="24"/>
          <w:szCs w:val="24"/>
          <w:bdr w:val="nil"/>
        </w:rPr>
      </w:pPr>
    </w:p>
    <w:p w:rsidR="001121D9" w:rsidRDefault="001121D9" w:rsidP="001C1DC4">
      <w:pPr>
        <w:pBdr>
          <w:top w:val="nil"/>
          <w:left w:val="nil"/>
          <w:bottom w:val="nil"/>
          <w:right w:val="nil"/>
          <w:between w:val="nil"/>
          <w:bar w:val="nil"/>
        </w:pBdr>
        <w:shd w:val="clear" w:color="auto" w:fill="FFFFFF"/>
        <w:spacing w:before="100" w:beforeAutospacing="1" w:after="100" w:afterAutospacing="1" w:line="360" w:lineRule="auto"/>
        <w:contextualSpacing/>
        <w:jc w:val="center"/>
        <w:rPr>
          <w:rFonts w:ascii="Arial" w:eastAsia="Arial Unicode MS" w:hAnsi="Arial" w:cs="Arial"/>
          <w:b/>
          <w:sz w:val="24"/>
          <w:szCs w:val="24"/>
          <w:bdr w:val="nil"/>
        </w:rPr>
      </w:pPr>
    </w:p>
    <w:p w:rsidR="001121D9" w:rsidRDefault="001121D9" w:rsidP="001C1DC4">
      <w:pPr>
        <w:pBdr>
          <w:top w:val="nil"/>
          <w:left w:val="nil"/>
          <w:bottom w:val="nil"/>
          <w:right w:val="nil"/>
          <w:between w:val="nil"/>
          <w:bar w:val="nil"/>
        </w:pBdr>
        <w:shd w:val="clear" w:color="auto" w:fill="FFFFFF"/>
        <w:spacing w:before="100" w:beforeAutospacing="1" w:after="100" w:afterAutospacing="1" w:line="360" w:lineRule="auto"/>
        <w:contextualSpacing/>
        <w:jc w:val="center"/>
        <w:rPr>
          <w:rFonts w:ascii="Arial" w:eastAsia="Arial Unicode MS" w:hAnsi="Arial" w:cs="Arial"/>
          <w:b/>
          <w:sz w:val="24"/>
          <w:szCs w:val="24"/>
          <w:bdr w:val="nil"/>
        </w:rPr>
      </w:pPr>
    </w:p>
    <w:bookmarkEnd w:id="0"/>
    <w:p w:rsidR="001C1DC4" w:rsidRPr="00636FEF" w:rsidRDefault="001C1DC4" w:rsidP="001C1DC4">
      <w:pPr>
        <w:rPr>
          <w:rFonts w:ascii="Arial" w:eastAsia="Arial Unicode MS" w:hAnsi="Arial" w:cs="Arial"/>
          <w:b/>
          <w:sz w:val="24"/>
          <w:szCs w:val="24"/>
          <w:bdr w:val="nil"/>
        </w:rPr>
      </w:pPr>
      <w:r w:rsidRPr="00636FEF">
        <w:rPr>
          <w:rFonts w:ascii="Arial" w:eastAsia="Arial Unicode MS" w:hAnsi="Arial" w:cs="Arial"/>
          <w:b/>
          <w:sz w:val="24"/>
          <w:szCs w:val="24"/>
          <w:bdr w:val="nil"/>
        </w:rPr>
        <w:t>____</w:t>
      </w:r>
      <w:r>
        <w:rPr>
          <w:rFonts w:ascii="Arial" w:eastAsia="Arial Unicode MS" w:hAnsi="Arial" w:cs="Arial"/>
          <w:b/>
          <w:sz w:val="24"/>
          <w:szCs w:val="24"/>
          <w:bdr w:val="nil"/>
        </w:rPr>
        <w:t>____________________________</w:t>
      </w:r>
      <w:r w:rsidRPr="00636FEF">
        <w:rPr>
          <w:rFonts w:ascii="Arial" w:eastAsia="Arial Unicode MS" w:hAnsi="Arial" w:cs="Arial"/>
          <w:b/>
          <w:sz w:val="24"/>
          <w:szCs w:val="24"/>
          <w:bdr w:val="nil"/>
        </w:rPr>
        <w:t xml:space="preserve">      __________________________</w:t>
      </w:r>
      <w:r>
        <w:rPr>
          <w:rFonts w:ascii="Arial" w:eastAsia="Arial Unicode MS" w:hAnsi="Arial" w:cs="Arial"/>
          <w:b/>
          <w:sz w:val="24"/>
          <w:szCs w:val="24"/>
          <w:bdr w:val="nil"/>
        </w:rPr>
        <w:t>____</w:t>
      </w:r>
    </w:p>
    <w:p w:rsidR="001C1DC4" w:rsidRPr="00636FEF" w:rsidRDefault="001C1DC4" w:rsidP="001C1DC4">
      <w:pPr>
        <w:rPr>
          <w:rFonts w:ascii="Arial" w:eastAsia="Arial Unicode MS" w:hAnsi="Arial" w:cs="Arial"/>
          <w:b/>
          <w:bCs/>
          <w:sz w:val="21"/>
          <w:szCs w:val="21"/>
          <w:bdr w:val="nil"/>
          <w:lang w:val="es-ES"/>
        </w:rPr>
      </w:pPr>
      <w:r w:rsidRPr="00636FEF">
        <w:rPr>
          <w:rFonts w:ascii="Arial" w:eastAsia="Arial Unicode MS" w:hAnsi="Arial" w:cs="Arial"/>
          <w:b/>
          <w:bCs/>
          <w:sz w:val="21"/>
          <w:szCs w:val="21"/>
          <w:bdr w:val="nil"/>
          <w:lang w:val="es-ES"/>
        </w:rPr>
        <w:t xml:space="preserve">Diputada Krishna Karina Romero Velázquez    </w:t>
      </w:r>
      <w:r w:rsidRPr="00636FEF">
        <w:rPr>
          <w:rFonts w:ascii="Arial" w:eastAsia="Arial Unicode MS" w:hAnsi="Arial" w:cs="Arial"/>
          <w:b/>
          <w:bCs/>
          <w:sz w:val="21"/>
          <w:szCs w:val="21"/>
          <w:bdr w:val="nil"/>
        </w:rPr>
        <w:t>Diputado Pablo Fernández de Cevallos G</w:t>
      </w:r>
      <w:r w:rsidR="00275126">
        <w:rPr>
          <w:rFonts w:ascii="Arial" w:eastAsia="Arial Unicode MS" w:hAnsi="Arial" w:cs="Arial"/>
          <w:b/>
          <w:bCs/>
          <w:sz w:val="21"/>
          <w:szCs w:val="21"/>
          <w:bdr w:val="nil"/>
        </w:rPr>
        <w:t>.</w:t>
      </w:r>
    </w:p>
    <w:p w:rsidR="001C1DC4" w:rsidRPr="00636FEF" w:rsidRDefault="001C1DC4" w:rsidP="001C1DC4">
      <w:pPr>
        <w:rPr>
          <w:rFonts w:ascii="Arial" w:eastAsia="Arial Unicode MS" w:hAnsi="Arial" w:cs="Arial"/>
          <w:b/>
          <w:bCs/>
          <w:sz w:val="24"/>
          <w:szCs w:val="24"/>
          <w:bdr w:val="nil"/>
          <w:lang w:val="es-ES"/>
        </w:rPr>
      </w:pPr>
    </w:p>
    <w:p w:rsidR="00675204" w:rsidRDefault="001C1DC4" w:rsidP="003C7FE0">
      <w:pPr>
        <w:jc w:val="center"/>
      </w:pPr>
      <w:r w:rsidRPr="00636FEF">
        <w:rPr>
          <w:rFonts w:ascii="Arial" w:eastAsia="Arial Unicode MS" w:hAnsi="Arial" w:cs="Arial"/>
          <w:b/>
          <w:bCs/>
          <w:sz w:val="24"/>
          <w:szCs w:val="24"/>
          <w:bdr w:val="nil"/>
          <w:lang w:val="es-ES"/>
        </w:rPr>
        <w:t>Grupo Parlament</w:t>
      </w:r>
      <w:r w:rsidR="003C7FE0">
        <w:rPr>
          <w:rFonts w:ascii="Arial" w:eastAsia="Arial Unicode MS" w:hAnsi="Arial" w:cs="Arial"/>
          <w:b/>
          <w:bCs/>
          <w:sz w:val="24"/>
          <w:szCs w:val="24"/>
          <w:bdr w:val="nil"/>
          <w:lang w:val="es-ES"/>
        </w:rPr>
        <w:t>ario del Partido Acción Nacional</w:t>
      </w:r>
    </w:p>
    <w:sectPr w:rsidR="00675204">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2176" w:rsidRDefault="00FC2176" w:rsidP="001C1DC4">
      <w:pPr>
        <w:spacing w:after="0" w:line="240" w:lineRule="auto"/>
      </w:pPr>
      <w:r>
        <w:separator/>
      </w:r>
    </w:p>
  </w:endnote>
  <w:endnote w:type="continuationSeparator" w:id="0">
    <w:p w:rsidR="00FC2176" w:rsidRDefault="00FC2176" w:rsidP="001C1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48881"/>
      <w:docPartObj>
        <w:docPartGallery w:val="Page Numbers (Bottom of Page)"/>
        <w:docPartUnique/>
      </w:docPartObj>
    </w:sdtPr>
    <w:sdtContent>
      <w:p w:rsidR="00B42E7F" w:rsidRDefault="00851B52">
        <w:pPr>
          <w:pStyle w:val="Piedepgina"/>
          <w:jc w:val="right"/>
        </w:pPr>
        <w:r>
          <w:fldChar w:fldCharType="begin"/>
        </w:r>
        <w:r>
          <w:instrText>PAGE   \* MERGEFORMAT</w:instrText>
        </w:r>
        <w:r>
          <w:fldChar w:fldCharType="separate"/>
        </w:r>
        <w:r w:rsidR="00C56AD9" w:rsidRPr="00C56AD9">
          <w:rPr>
            <w:noProof/>
            <w:lang w:val="es-ES"/>
          </w:rPr>
          <w:t>4</w:t>
        </w:r>
        <w:r>
          <w:fldChar w:fldCharType="end"/>
        </w:r>
      </w:p>
    </w:sdtContent>
  </w:sdt>
  <w:p w:rsidR="00B42E7F" w:rsidRDefault="00B42E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2176" w:rsidRDefault="00FC2176" w:rsidP="001C1DC4">
      <w:pPr>
        <w:spacing w:after="0" w:line="240" w:lineRule="auto"/>
      </w:pPr>
      <w:r>
        <w:separator/>
      </w:r>
    </w:p>
  </w:footnote>
  <w:footnote w:type="continuationSeparator" w:id="0">
    <w:p w:rsidR="00FC2176" w:rsidRDefault="00FC2176" w:rsidP="001C1DC4">
      <w:pPr>
        <w:spacing w:after="0" w:line="240" w:lineRule="auto"/>
      </w:pPr>
      <w:r>
        <w:continuationSeparator/>
      </w:r>
    </w:p>
  </w:footnote>
  <w:footnote w:id="1">
    <w:p w:rsidR="00B5257F" w:rsidRPr="00B5257F" w:rsidRDefault="001C1DC4" w:rsidP="001121D9">
      <w:pPr>
        <w:pStyle w:val="Textonotapie"/>
        <w:jc w:val="both"/>
        <w:rPr>
          <w:rFonts w:ascii="Times" w:hAnsi="Times" w:cs="Times"/>
          <w:color w:val="000000"/>
          <w:shd w:val="clear" w:color="auto" w:fill="FFFFFF"/>
        </w:rPr>
      </w:pPr>
      <w:r>
        <w:rPr>
          <w:rStyle w:val="Refdenotaalpie"/>
        </w:rPr>
        <w:footnoteRef/>
      </w:r>
      <w:r>
        <w:t xml:space="preserve"> </w:t>
      </w:r>
      <w:r>
        <w:rPr>
          <w:rFonts w:ascii="Times" w:hAnsi="Times" w:cs="Times"/>
          <w:color w:val="000000"/>
          <w:shd w:val="clear" w:color="auto" w:fill="FFFFFF"/>
        </w:rPr>
        <w:t> </w:t>
      </w:r>
      <w:r w:rsidR="00B5257F" w:rsidRPr="001121D9">
        <w:rPr>
          <w:rFonts w:ascii="Arial" w:hAnsi="Arial" w:cs="Arial"/>
          <w:color w:val="000000"/>
          <w:shd w:val="clear" w:color="auto" w:fill="FFFFFF"/>
        </w:rPr>
        <w:t xml:space="preserve">Declaración sobre la eliminación de la violencia contra la mujer; ONU; disponible en: </w:t>
      </w:r>
      <w:hyperlink r:id="rId1" w:history="1">
        <w:r w:rsidR="00B5257F" w:rsidRPr="001121D9">
          <w:rPr>
            <w:rStyle w:val="Hipervnculo"/>
            <w:rFonts w:ascii="Arial" w:hAnsi="Arial" w:cs="Arial"/>
            <w:shd w:val="clear" w:color="auto" w:fill="FFFFFF"/>
          </w:rPr>
          <w:t>https://www.ohchr.org/es/instruments-mechanisms/instruments/declaration-elimination-violence-against-women</w:t>
        </w:r>
      </w:hyperlink>
      <w:r w:rsidR="00B5257F" w:rsidRPr="001121D9">
        <w:rPr>
          <w:rFonts w:ascii="Arial" w:hAnsi="Arial" w:cs="Arial"/>
          <w:color w:val="000000"/>
          <w:shd w:val="clear" w:color="auto" w:fill="FFFFFF"/>
        </w:rPr>
        <w:t>; consultada el día 08/02/2025.</w:t>
      </w:r>
    </w:p>
  </w:footnote>
  <w:footnote w:id="2">
    <w:p w:rsidR="008925C7" w:rsidRPr="008925C7" w:rsidRDefault="008925C7" w:rsidP="008925C7">
      <w:pPr>
        <w:pStyle w:val="Textonotapie"/>
        <w:jc w:val="both"/>
        <w:rPr>
          <w:rFonts w:ascii="Arial" w:hAnsi="Arial" w:cs="Arial"/>
          <w:color w:val="37393C"/>
          <w:shd w:val="clear" w:color="auto" w:fill="FFFFFF"/>
        </w:rPr>
      </w:pPr>
      <w:r>
        <w:rPr>
          <w:rStyle w:val="Refdenotaalpie"/>
        </w:rPr>
        <w:footnoteRef/>
      </w:r>
      <w:r>
        <w:t xml:space="preserve"> </w:t>
      </w:r>
      <w:r w:rsidRPr="008925C7">
        <w:rPr>
          <w:rFonts w:ascii="Arial" w:hAnsi="Arial" w:cs="Arial"/>
          <w:shd w:val="clear" w:color="auto" w:fill="FFFFFF"/>
        </w:rPr>
        <w:t>Red Nacional de Refugios. (s/f). </w:t>
      </w:r>
      <w:r w:rsidRPr="008925C7">
        <w:rPr>
          <w:rFonts w:ascii="Arial" w:hAnsi="Arial" w:cs="Arial"/>
          <w:i/>
          <w:iCs/>
          <w:shd w:val="clear" w:color="auto" w:fill="FFFFFF"/>
        </w:rPr>
        <w:t>La Lucha Continua: Aumento de Casos de Violencia contra las Mujeres y la Demanda de Refugios en 2024</w:t>
      </w:r>
      <w:r w:rsidRPr="008925C7">
        <w:rPr>
          <w:rFonts w:ascii="Arial" w:hAnsi="Arial" w:cs="Arial"/>
          <w:shd w:val="clear" w:color="auto" w:fill="FFFFFF"/>
        </w:rPr>
        <w:t xml:space="preserve">. Org.mx. </w:t>
      </w:r>
      <w:r>
        <w:rPr>
          <w:rFonts w:ascii="Arial" w:hAnsi="Arial" w:cs="Arial"/>
          <w:shd w:val="clear" w:color="auto" w:fill="FFFFFF"/>
        </w:rPr>
        <w:t xml:space="preserve">disponible en la pág. </w:t>
      </w:r>
      <w:proofErr w:type="gramStart"/>
      <w:r>
        <w:rPr>
          <w:rFonts w:ascii="Arial" w:hAnsi="Arial" w:cs="Arial"/>
          <w:shd w:val="clear" w:color="auto" w:fill="FFFFFF"/>
        </w:rPr>
        <w:t>web.-</w:t>
      </w:r>
      <w:proofErr w:type="gramEnd"/>
      <w:r>
        <w:fldChar w:fldCharType="begin"/>
      </w:r>
      <w:r>
        <w:instrText>HYPERLINK "https://rednacionalderefugios.org.mx/destacada/la-lucha-continua-aumento-de-casos-de-violencia-contra-las-mujeres-y-la-demanda-de-refugios-en-2024/"</w:instrText>
      </w:r>
      <w:r>
        <w:fldChar w:fldCharType="separate"/>
      </w:r>
      <w:r w:rsidRPr="00195C95">
        <w:rPr>
          <w:rStyle w:val="Hipervnculo"/>
          <w:rFonts w:ascii="Arial" w:hAnsi="Arial" w:cs="Arial"/>
          <w:shd w:val="clear" w:color="auto" w:fill="FFFFFF"/>
        </w:rPr>
        <w:t>https://rednacionalderefugios.org.mx/destacada/la-lucha-continua-aumento-de-casos-de-violencia-contra-las-mujeres-y-la-demanda-de-refugios-en-2024/</w:t>
      </w:r>
      <w:r>
        <w:fldChar w:fldCharType="end"/>
      </w:r>
      <w:r>
        <w:rPr>
          <w:rFonts w:ascii="Arial" w:hAnsi="Arial" w:cs="Arial"/>
          <w:color w:val="37393C"/>
          <w:shd w:val="clear" w:color="auto" w:fill="FFFFFF"/>
        </w:rPr>
        <w:t xml:space="preserve">, </w:t>
      </w:r>
      <w:r w:rsidRPr="008925C7">
        <w:rPr>
          <w:rFonts w:ascii="Arial" w:hAnsi="Arial" w:cs="Arial"/>
          <w:shd w:val="clear" w:color="auto" w:fill="FFFFFF"/>
        </w:rPr>
        <w:t>consultada el día 20/02/2025</w:t>
      </w:r>
      <w:r>
        <w:rPr>
          <w:rFonts w:ascii="Arial" w:hAnsi="Arial" w:cs="Arial"/>
          <w:color w:val="37393C"/>
          <w:shd w:val="clear" w:color="auto" w:fill="FFFFFF"/>
        </w:rPr>
        <w:t>.</w:t>
      </w:r>
    </w:p>
  </w:footnote>
  <w:footnote w:id="3">
    <w:p w:rsidR="001121D9" w:rsidRPr="001121D9" w:rsidRDefault="001121D9" w:rsidP="001121D9">
      <w:pPr>
        <w:pStyle w:val="Textonotapie"/>
        <w:jc w:val="both"/>
        <w:rPr>
          <w:rFonts w:ascii="Arial" w:hAnsi="Arial" w:cs="Arial"/>
          <w:shd w:val="clear" w:color="auto" w:fill="FFFFFF"/>
        </w:rPr>
      </w:pPr>
      <w:r>
        <w:rPr>
          <w:rStyle w:val="Refdenotaalpie"/>
        </w:rPr>
        <w:footnoteRef/>
      </w:r>
      <w:r>
        <w:t xml:space="preserve"> </w:t>
      </w:r>
      <w:r w:rsidRPr="001121D9">
        <w:rPr>
          <w:rFonts w:ascii="Arial" w:hAnsi="Arial" w:cs="Arial"/>
          <w:shd w:val="clear" w:color="auto" w:fill="FFFFFF"/>
        </w:rPr>
        <w:t>Secretariado Ejecutivo del Sistema Nacional de Seguridad Pública. (s/f). </w:t>
      </w:r>
      <w:r w:rsidRPr="001121D9">
        <w:rPr>
          <w:rFonts w:ascii="Arial" w:hAnsi="Arial" w:cs="Arial"/>
          <w:i/>
          <w:iCs/>
          <w:shd w:val="clear" w:color="auto" w:fill="FFFFFF"/>
        </w:rPr>
        <w:t>Incidencia delictiva del Fuero Común, nueva metodología</w:t>
      </w:r>
      <w:r>
        <w:rPr>
          <w:rFonts w:ascii="Arial" w:hAnsi="Arial" w:cs="Arial"/>
          <w:shd w:val="clear" w:color="auto" w:fill="FFFFFF"/>
        </w:rPr>
        <w:t xml:space="preserve">, disponible en: </w:t>
      </w:r>
      <w:hyperlink r:id="rId2" w:history="1">
        <w:r w:rsidRPr="00195C95">
          <w:rPr>
            <w:rStyle w:val="Hipervnculo"/>
            <w:rFonts w:ascii="Arial" w:hAnsi="Arial" w:cs="Arial"/>
            <w:shd w:val="clear" w:color="auto" w:fill="FFFFFF"/>
          </w:rPr>
          <w:t>https://www.gob.mx/sesnsp/acciones-y-programas/incidencia-delictiva-del-fuero-comun-nueva-metodologia?state=published</w:t>
        </w:r>
      </w:hyperlink>
      <w:r>
        <w:rPr>
          <w:rFonts w:ascii="Arial" w:hAnsi="Arial" w:cs="Arial"/>
          <w:color w:val="37393C"/>
          <w:shd w:val="clear" w:color="auto" w:fill="FFFFFF"/>
        </w:rPr>
        <w:t xml:space="preserve">, </w:t>
      </w:r>
      <w:r w:rsidRPr="001121D9">
        <w:rPr>
          <w:rFonts w:ascii="Arial" w:hAnsi="Arial" w:cs="Arial"/>
          <w:shd w:val="clear" w:color="auto" w:fill="FFFFFF"/>
        </w:rPr>
        <w:t>consultada el 16/02/2025.</w:t>
      </w:r>
    </w:p>
  </w:footnote>
  <w:footnote w:id="4">
    <w:p w:rsidR="003C7FE0" w:rsidRDefault="003C7FE0">
      <w:pPr>
        <w:pStyle w:val="Textonotapie"/>
      </w:pPr>
      <w:r>
        <w:rPr>
          <w:rStyle w:val="Refdenotaalpie"/>
        </w:rPr>
        <w:footnoteRef/>
      </w:r>
      <w:r>
        <w:t xml:space="preserve"> </w:t>
      </w:r>
      <w:r w:rsidRPr="003C7FE0">
        <w:rPr>
          <w:rFonts w:ascii="Arial" w:hAnsi="Arial" w:cs="Arial"/>
        </w:rPr>
        <w:t>Información sobre violencia contra las mujeres (Incidencia delictiva y llamadas de emergencia 9-1-1)</w:t>
      </w:r>
      <w:r>
        <w:rPr>
          <w:rFonts w:ascii="Arial" w:hAnsi="Arial" w:cs="Arial"/>
        </w:rPr>
        <w:t xml:space="preserve">, </w:t>
      </w:r>
      <w:r w:rsidRPr="001121D9">
        <w:rPr>
          <w:rFonts w:ascii="Arial" w:hAnsi="Arial" w:cs="Arial"/>
          <w:shd w:val="clear" w:color="auto" w:fill="FFFFFF"/>
        </w:rPr>
        <w:t>Secretariado Ejecutivo del Sistema Nacional de Seguridad Pública</w:t>
      </w:r>
      <w:r>
        <w:rPr>
          <w:rFonts w:ascii="Arial" w:hAnsi="Arial" w:cs="Arial"/>
          <w:shd w:val="clear" w:color="auto" w:fill="FFFFFF"/>
        </w:rPr>
        <w:t xml:space="preserve">. </w:t>
      </w:r>
    </w:p>
  </w:footnote>
  <w:footnote w:id="5">
    <w:p w:rsidR="001121D9" w:rsidRPr="001121D9" w:rsidRDefault="00F50CE6">
      <w:pPr>
        <w:pStyle w:val="Textonotapie"/>
        <w:rPr>
          <w:rFonts w:ascii="Arial" w:hAnsi="Arial" w:cs="Arial"/>
          <w:color w:val="37393C"/>
          <w:shd w:val="clear" w:color="auto" w:fill="FFFFFF"/>
        </w:rPr>
      </w:pPr>
      <w:r>
        <w:rPr>
          <w:rStyle w:val="Refdenotaalpie"/>
        </w:rPr>
        <w:footnoteRef/>
      </w:r>
      <w:r>
        <w:t xml:space="preserve"> </w:t>
      </w:r>
      <w:r w:rsidRPr="001121D9">
        <w:rPr>
          <w:rFonts w:ascii="Arial" w:hAnsi="Arial" w:cs="Arial"/>
          <w:shd w:val="clear" w:color="auto" w:fill="FFFFFF"/>
        </w:rPr>
        <w:t>Vargas, A. (2023, mayo 27). </w:t>
      </w:r>
      <w:r w:rsidRPr="001121D9">
        <w:rPr>
          <w:rFonts w:ascii="Arial" w:hAnsi="Arial" w:cs="Arial"/>
          <w:i/>
          <w:iCs/>
          <w:shd w:val="clear" w:color="auto" w:fill="FFFFFF"/>
        </w:rPr>
        <w:t>Ley Alina: Así es la iniciativa sobre legítima defensa tras el caso de la policía Alina Narciso</w:t>
      </w:r>
      <w:r w:rsidRPr="001121D9">
        <w:rPr>
          <w:rFonts w:ascii="Arial" w:hAnsi="Arial" w:cs="Arial"/>
          <w:shd w:val="clear" w:color="auto" w:fill="FFFFFF"/>
        </w:rPr>
        <w:t xml:space="preserve">. El Financiero. </w:t>
      </w:r>
      <w:hyperlink r:id="rId3" w:history="1">
        <w:r w:rsidR="001121D9" w:rsidRPr="00195C95">
          <w:rPr>
            <w:rStyle w:val="Hipervnculo"/>
            <w:rFonts w:ascii="Arial" w:hAnsi="Arial" w:cs="Arial"/>
            <w:shd w:val="clear" w:color="auto" w:fill="FFFFFF"/>
          </w:rPr>
          <w:t>https://www.elfinanciero.com.mx/estados/2023/05/27/ley-alina-asi-es-la-iniciativa-sobre-legitima-defensa-tras-el-caso-de-la-policia-alina-narciso/</w:t>
        </w:r>
      </w:hyperlink>
      <w:r w:rsidR="001121D9">
        <w:rPr>
          <w:rFonts w:ascii="Arial" w:hAnsi="Arial" w:cs="Arial"/>
          <w:color w:val="37393C"/>
          <w:shd w:val="clear" w:color="auto" w:fill="FFFFFF"/>
        </w:rPr>
        <w:t>.</w:t>
      </w:r>
    </w:p>
  </w:footnote>
  <w:footnote w:id="6">
    <w:p w:rsidR="00F50CE6" w:rsidRPr="00F50CE6" w:rsidRDefault="00F50CE6" w:rsidP="00F50CE6">
      <w:pPr>
        <w:pStyle w:val="Textonotapie"/>
        <w:jc w:val="both"/>
        <w:rPr>
          <w:rFonts w:ascii="Arial" w:hAnsi="Arial" w:cs="Arial"/>
          <w:color w:val="37393C"/>
          <w:shd w:val="clear" w:color="auto" w:fill="FFFFFF"/>
        </w:rPr>
      </w:pPr>
      <w:r>
        <w:rPr>
          <w:rStyle w:val="Refdenotaalpie"/>
        </w:rPr>
        <w:footnoteRef/>
      </w:r>
      <w:r>
        <w:t xml:space="preserve"> </w:t>
      </w:r>
      <w:r w:rsidRPr="00F50CE6">
        <w:rPr>
          <w:rFonts w:ascii="Arial" w:hAnsi="Arial" w:cs="Arial"/>
          <w:i/>
          <w:iCs/>
          <w:shd w:val="clear" w:color="auto" w:fill="FFFFFF"/>
        </w:rPr>
        <w:t>La (in) justicia de Roxana Ruiz</w:t>
      </w:r>
      <w:r w:rsidRPr="00F50CE6">
        <w:rPr>
          <w:rFonts w:ascii="Arial" w:hAnsi="Arial" w:cs="Arial"/>
          <w:shd w:val="clear" w:color="auto" w:fill="FFFFFF"/>
        </w:rPr>
        <w:t xml:space="preserve">. (s/f). Ibero.mx. disponible en la pág. </w:t>
      </w:r>
      <w:proofErr w:type="gramStart"/>
      <w:r w:rsidRPr="00F50CE6">
        <w:rPr>
          <w:rFonts w:ascii="Arial" w:hAnsi="Arial" w:cs="Arial"/>
          <w:shd w:val="clear" w:color="auto" w:fill="FFFFFF"/>
        </w:rPr>
        <w:t>web.-</w:t>
      </w:r>
      <w:proofErr w:type="gramEnd"/>
      <w:r w:rsidRPr="00F50CE6">
        <w:rPr>
          <w:rFonts w:ascii="Arial" w:hAnsi="Arial" w:cs="Arial"/>
          <w:shd w:val="clear" w:color="auto" w:fill="FFFFFF"/>
        </w:rPr>
        <w:t xml:space="preserve">  </w:t>
      </w:r>
      <w:hyperlink r:id="rId4" w:history="1">
        <w:r w:rsidRPr="00195C95">
          <w:rPr>
            <w:rStyle w:val="Hipervnculo"/>
            <w:rFonts w:ascii="Arial" w:hAnsi="Arial" w:cs="Arial"/>
            <w:shd w:val="clear" w:color="auto" w:fill="FFFFFF"/>
          </w:rPr>
          <w:t>https://ibero.mx/prensa/la-justicia-de-roxana-ruiz</w:t>
        </w:r>
      </w:hyperlink>
      <w:r>
        <w:rPr>
          <w:rFonts w:ascii="Arial" w:hAnsi="Arial" w:cs="Arial"/>
          <w:color w:val="37393C"/>
          <w:shd w:val="clear" w:color="auto" w:fill="FFFFFF"/>
        </w:rPr>
        <w:t xml:space="preserve">, </w:t>
      </w:r>
      <w:r w:rsidRPr="00F50CE6">
        <w:rPr>
          <w:rFonts w:ascii="Arial" w:hAnsi="Arial" w:cs="Arial"/>
          <w:shd w:val="clear" w:color="auto" w:fill="FFFFFF"/>
        </w:rPr>
        <w:t>consultado el día 01/02/2025.</w:t>
      </w:r>
    </w:p>
  </w:footnote>
  <w:footnote w:id="7">
    <w:p w:rsidR="001121D9" w:rsidRPr="001121D9" w:rsidRDefault="001121D9" w:rsidP="001121D9">
      <w:pPr>
        <w:pStyle w:val="Textonotapie"/>
        <w:jc w:val="both"/>
        <w:rPr>
          <w:rFonts w:ascii="Arial" w:hAnsi="Arial" w:cs="Arial"/>
          <w:color w:val="37393C"/>
          <w:shd w:val="clear" w:color="auto" w:fill="FFFFFF"/>
        </w:rPr>
      </w:pPr>
      <w:r>
        <w:rPr>
          <w:rStyle w:val="Refdenotaalpie"/>
        </w:rPr>
        <w:footnoteRef/>
      </w:r>
      <w:r>
        <w:t xml:space="preserve"> </w:t>
      </w:r>
      <w:r w:rsidRPr="001121D9">
        <w:rPr>
          <w:rFonts w:ascii="Arial" w:hAnsi="Arial" w:cs="Arial"/>
          <w:i/>
          <w:iCs/>
          <w:shd w:val="clear" w:color="auto" w:fill="FFFFFF"/>
        </w:rPr>
        <w:t>Recomendación general del Comité de Expertas del MESECVI (No.1): Legítima defensa y violencia contra las mujeres (MESECVI, 2018)</w:t>
      </w:r>
      <w:r w:rsidRPr="001121D9">
        <w:rPr>
          <w:rFonts w:ascii="Arial" w:hAnsi="Arial" w:cs="Arial"/>
          <w:shd w:val="clear" w:color="auto" w:fill="FFFFFF"/>
        </w:rPr>
        <w:t xml:space="preserve">. (2023, noviembre 17). MESECVI. </w:t>
      </w:r>
      <w:hyperlink r:id="rId5" w:history="1">
        <w:r w:rsidRPr="00195C95">
          <w:rPr>
            <w:rStyle w:val="Hipervnculo"/>
            <w:rFonts w:ascii="Arial" w:hAnsi="Arial" w:cs="Arial"/>
            <w:shd w:val="clear" w:color="auto" w:fill="FFFFFF"/>
          </w:rPr>
          <w:t>https://belemdopara.org/recomendacion-general-del-comite-de-expertas-del-mesecvi-no-1-legitima-defensa-y-violencia-contra-las-mujeres-mesecvi-2018/</w:t>
        </w:r>
      </w:hyperlink>
      <w:r>
        <w:rPr>
          <w:rFonts w:ascii="Arial" w:hAnsi="Arial" w:cs="Arial"/>
          <w:color w:val="37393C"/>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E7F" w:rsidRDefault="00851B52">
    <w:pPr>
      <w:pStyle w:val="Encabezado"/>
    </w:pPr>
    <w:r>
      <w:rPr>
        <w:noProof/>
        <w:lang w:eastAsia="es-MX"/>
      </w:rPr>
      <w:drawing>
        <wp:anchor distT="0" distB="0" distL="114300" distR="114300" simplePos="0" relativeHeight="251659264" behindDoc="1" locked="0" layoutInCell="1" allowOverlap="1" wp14:anchorId="323A8ECA" wp14:editId="0B84AE42">
          <wp:simplePos x="0" y="0"/>
          <wp:positionH relativeFrom="column">
            <wp:posOffset>1748790</wp:posOffset>
          </wp:positionH>
          <wp:positionV relativeFrom="paragraph">
            <wp:posOffset>-78105</wp:posOffset>
          </wp:positionV>
          <wp:extent cx="2365375" cy="66421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664210"/>
                  </a:xfrm>
                  <a:prstGeom prst="rect">
                    <a:avLst/>
                  </a:prstGeom>
                  <a:noFill/>
                </pic:spPr>
              </pic:pic>
            </a:graphicData>
          </a:graphic>
        </wp:anchor>
      </w:drawing>
    </w:r>
  </w:p>
  <w:p w:rsidR="00B42E7F" w:rsidRDefault="00B42E7F">
    <w:pPr>
      <w:pStyle w:val="Encabezado"/>
    </w:pPr>
  </w:p>
  <w:p w:rsidR="00B42E7F" w:rsidRDefault="00B42E7F">
    <w:pPr>
      <w:pStyle w:val="Encabezado"/>
    </w:pPr>
  </w:p>
  <w:p w:rsidR="00B42E7F" w:rsidRDefault="00B42E7F">
    <w:pPr>
      <w:pStyle w:val="Encabezado"/>
    </w:pPr>
  </w:p>
  <w:p w:rsidR="00B42E7F" w:rsidRPr="004E7667" w:rsidRDefault="00851B52" w:rsidP="005228E7">
    <w:pPr>
      <w:pStyle w:val="NormalWeb"/>
      <w:spacing w:before="0" w:beforeAutospacing="0" w:after="0" w:afterAutospacing="0"/>
      <w:jc w:val="center"/>
      <w:rPr>
        <w:rFonts w:ascii="Arial" w:hAnsi="Arial" w:cs="Arial"/>
        <w:b/>
        <w:sz w:val="20"/>
        <w:szCs w:val="20"/>
      </w:rPr>
    </w:pPr>
    <w:r>
      <w:rPr>
        <w:rFonts w:ascii="Arial" w:hAnsi="Arial" w:cs="Arial"/>
        <w:b/>
        <w:sz w:val="20"/>
        <w:szCs w:val="20"/>
      </w:rPr>
      <w:t xml:space="preserve">Grupo Parlamentario </w:t>
    </w:r>
    <w:r w:rsidRPr="004E7667">
      <w:rPr>
        <w:rFonts w:ascii="Arial" w:hAnsi="Arial" w:cs="Arial"/>
        <w:b/>
        <w:sz w:val="20"/>
        <w:szCs w:val="20"/>
      </w:rPr>
      <w:t>del P</w:t>
    </w:r>
    <w:r>
      <w:rPr>
        <w:rFonts w:ascii="Arial" w:hAnsi="Arial" w:cs="Arial"/>
        <w:b/>
        <w:sz w:val="20"/>
        <w:szCs w:val="20"/>
      </w:rPr>
      <w:t xml:space="preserve">artido </w:t>
    </w:r>
    <w:r w:rsidRPr="004E7667">
      <w:rPr>
        <w:rFonts w:ascii="Arial" w:hAnsi="Arial" w:cs="Arial"/>
        <w:b/>
        <w:sz w:val="20"/>
        <w:szCs w:val="20"/>
      </w:rPr>
      <w:t>A</w:t>
    </w:r>
    <w:r>
      <w:rPr>
        <w:rFonts w:ascii="Arial" w:hAnsi="Arial" w:cs="Arial"/>
        <w:b/>
        <w:sz w:val="20"/>
        <w:szCs w:val="20"/>
      </w:rPr>
      <w:t xml:space="preserve">cción </w:t>
    </w:r>
    <w:r w:rsidRPr="004E7667">
      <w:rPr>
        <w:rFonts w:ascii="Arial" w:hAnsi="Arial" w:cs="Arial"/>
        <w:b/>
        <w:sz w:val="20"/>
        <w:szCs w:val="20"/>
      </w:rPr>
      <w:t>N</w:t>
    </w:r>
    <w:r>
      <w:rPr>
        <w:rFonts w:ascii="Arial" w:hAnsi="Arial" w:cs="Arial"/>
        <w:b/>
        <w:sz w:val="20"/>
        <w:szCs w:val="20"/>
      </w:rPr>
      <w:t>acional</w:t>
    </w:r>
  </w:p>
  <w:p w:rsidR="00B42E7F" w:rsidRPr="00C04441" w:rsidRDefault="00B42E7F" w:rsidP="005228E7">
    <w:pPr>
      <w:pStyle w:val="NormalWeb"/>
      <w:spacing w:before="0" w:beforeAutospacing="0" w:after="0" w:afterAutospacing="0"/>
      <w:jc w:val="center"/>
      <w:rPr>
        <w:rFonts w:ascii="Arial" w:hAnsi="Arial" w:cs="Arial"/>
        <w:sz w:val="16"/>
        <w:szCs w:val="16"/>
      </w:rPr>
    </w:pPr>
  </w:p>
  <w:p w:rsidR="00B42E7F" w:rsidRDefault="00851B52" w:rsidP="005228E7">
    <w:pPr>
      <w:pStyle w:val="NormalWeb"/>
      <w:spacing w:before="0" w:beforeAutospacing="0" w:after="0" w:afterAutospacing="0"/>
      <w:jc w:val="center"/>
    </w:pPr>
    <w:r>
      <w:rPr>
        <w:rFonts w:ascii="Arial" w:hAnsi="Arial" w:cs="Arial"/>
        <w:sz w:val="16"/>
        <w:szCs w:val="16"/>
      </w:rPr>
      <w:t xml:space="preserve">“2025. Bicentenario de la Vida Municipal en el </w:t>
    </w:r>
    <w:r w:rsidRPr="001E44FA">
      <w:rPr>
        <w:rFonts w:ascii="Arial" w:hAnsi="Arial" w:cs="Arial"/>
        <w:sz w:val="16"/>
        <w:szCs w:val="16"/>
      </w:rPr>
      <w:t>Estado de México”</w:t>
    </w:r>
  </w:p>
  <w:p w:rsidR="00B42E7F" w:rsidRDefault="00B42E7F">
    <w:pPr>
      <w:pStyle w:val="Encabezado"/>
    </w:pPr>
  </w:p>
  <w:p w:rsidR="00B42E7F" w:rsidRDefault="00B42E7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DC4"/>
    <w:rsid w:val="0005550D"/>
    <w:rsid w:val="000A5EF1"/>
    <w:rsid w:val="001121D9"/>
    <w:rsid w:val="00153228"/>
    <w:rsid w:val="001C1DC4"/>
    <w:rsid w:val="0024071D"/>
    <w:rsid w:val="00275126"/>
    <w:rsid w:val="00331BC1"/>
    <w:rsid w:val="003C544B"/>
    <w:rsid w:val="003C7C7E"/>
    <w:rsid w:val="003C7FE0"/>
    <w:rsid w:val="003F74C4"/>
    <w:rsid w:val="004B1081"/>
    <w:rsid w:val="004E4F5F"/>
    <w:rsid w:val="005F40B5"/>
    <w:rsid w:val="00675204"/>
    <w:rsid w:val="00721E2B"/>
    <w:rsid w:val="007C2706"/>
    <w:rsid w:val="00851B52"/>
    <w:rsid w:val="008925C7"/>
    <w:rsid w:val="00AC1034"/>
    <w:rsid w:val="00B20A88"/>
    <w:rsid w:val="00B42E7F"/>
    <w:rsid w:val="00B5257F"/>
    <w:rsid w:val="00C14640"/>
    <w:rsid w:val="00C56AD9"/>
    <w:rsid w:val="00C74A50"/>
    <w:rsid w:val="00D02778"/>
    <w:rsid w:val="00E1066A"/>
    <w:rsid w:val="00E25B1B"/>
    <w:rsid w:val="00E3788F"/>
    <w:rsid w:val="00E926C5"/>
    <w:rsid w:val="00F24B95"/>
    <w:rsid w:val="00F50CE6"/>
    <w:rsid w:val="00FC21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94CDE2-3749-411C-8B5D-4FF38621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DC4"/>
  </w:style>
  <w:style w:type="paragraph" w:styleId="Ttulo1">
    <w:name w:val="heading 1"/>
    <w:basedOn w:val="Normal"/>
    <w:next w:val="Normal"/>
    <w:link w:val="Ttulo1Car"/>
    <w:uiPriority w:val="9"/>
    <w:qFormat/>
    <w:rsid w:val="008925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ar"/>
    <w:uiPriority w:val="9"/>
    <w:semiHidden/>
    <w:unhideWhenUsed/>
    <w:qFormat/>
    <w:rsid w:val="003C7FE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C1DC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1C1DC4"/>
    <w:pPr>
      <w:spacing w:after="0" w:line="240" w:lineRule="auto"/>
    </w:pPr>
  </w:style>
  <w:style w:type="character" w:customStyle="1" w:styleId="negritas">
    <w:name w:val="negritas"/>
    <w:basedOn w:val="Fuentedeprrafopredeter"/>
    <w:rsid w:val="001C1DC4"/>
  </w:style>
  <w:style w:type="character" w:styleId="Textoennegrita">
    <w:name w:val="Strong"/>
    <w:basedOn w:val="Fuentedeprrafopredeter"/>
    <w:uiPriority w:val="22"/>
    <w:qFormat/>
    <w:rsid w:val="001C1DC4"/>
    <w:rPr>
      <w:b/>
      <w:bCs/>
    </w:rPr>
  </w:style>
  <w:style w:type="paragraph" w:styleId="Textosinformato">
    <w:name w:val="Plain Text"/>
    <w:basedOn w:val="Normal"/>
    <w:link w:val="TextosinformatoCar"/>
    <w:semiHidden/>
    <w:rsid w:val="001C1DC4"/>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semiHidden/>
    <w:rsid w:val="001C1DC4"/>
    <w:rPr>
      <w:rFonts w:ascii="Courier New" w:eastAsia="Times New Roman" w:hAnsi="Courier New" w:cs="Courier New"/>
      <w:sz w:val="20"/>
      <w:szCs w:val="20"/>
      <w:lang w:eastAsia="es-ES"/>
    </w:rPr>
  </w:style>
  <w:style w:type="paragraph" w:styleId="Textonotapie">
    <w:name w:val="footnote text"/>
    <w:basedOn w:val="Normal"/>
    <w:link w:val="TextonotapieCar"/>
    <w:uiPriority w:val="99"/>
    <w:semiHidden/>
    <w:unhideWhenUsed/>
    <w:rsid w:val="001C1DC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C1DC4"/>
    <w:rPr>
      <w:sz w:val="20"/>
      <w:szCs w:val="20"/>
    </w:rPr>
  </w:style>
  <w:style w:type="character" w:styleId="Refdenotaalpie">
    <w:name w:val="footnote reference"/>
    <w:basedOn w:val="Fuentedeprrafopredeter"/>
    <w:uiPriority w:val="99"/>
    <w:semiHidden/>
    <w:unhideWhenUsed/>
    <w:rsid w:val="001C1DC4"/>
    <w:rPr>
      <w:vertAlign w:val="superscript"/>
    </w:rPr>
  </w:style>
  <w:style w:type="character" w:styleId="Hipervnculo">
    <w:name w:val="Hyperlink"/>
    <w:basedOn w:val="Fuentedeprrafopredeter"/>
    <w:uiPriority w:val="99"/>
    <w:unhideWhenUsed/>
    <w:rsid w:val="001C1DC4"/>
    <w:rPr>
      <w:color w:val="0563C1" w:themeColor="hyperlink"/>
      <w:u w:val="single"/>
    </w:rPr>
  </w:style>
  <w:style w:type="paragraph" w:styleId="Encabezado">
    <w:name w:val="header"/>
    <w:basedOn w:val="Normal"/>
    <w:link w:val="EncabezadoCar"/>
    <w:uiPriority w:val="99"/>
    <w:unhideWhenUsed/>
    <w:rsid w:val="001C1D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1DC4"/>
  </w:style>
  <w:style w:type="paragraph" w:styleId="Piedepgina">
    <w:name w:val="footer"/>
    <w:basedOn w:val="Normal"/>
    <w:link w:val="PiedepginaCar"/>
    <w:uiPriority w:val="99"/>
    <w:unhideWhenUsed/>
    <w:rsid w:val="001C1D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1DC4"/>
  </w:style>
  <w:style w:type="character" w:customStyle="1" w:styleId="Ttulo1Car">
    <w:name w:val="Título 1 Car"/>
    <w:basedOn w:val="Fuentedeprrafopredeter"/>
    <w:link w:val="Ttulo1"/>
    <w:uiPriority w:val="9"/>
    <w:rsid w:val="008925C7"/>
    <w:rPr>
      <w:rFonts w:asciiTheme="majorHAnsi" w:eastAsiaTheme="majorEastAsia" w:hAnsiTheme="majorHAnsi" w:cstheme="majorBidi"/>
      <w:color w:val="2E74B5" w:themeColor="accent1" w:themeShade="BF"/>
      <w:sz w:val="32"/>
      <w:szCs w:val="32"/>
    </w:rPr>
  </w:style>
  <w:style w:type="paragraph" w:styleId="Textodeglobo">
    <w:name w:val="Balloon Text"/>
    <w:basedOn w:val="Normal"/>
    <w:link w:val="TextodegloboCar"/>
    <w:uiPriority w:val="99"/>
    <w:semiHidden/>
    <w:unhideWhenUsed/>
    <w:rsid w:val="00E926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26C5"/>
    <w:rPr>
      <w:rFonts w:ascii="Segoe UI" w:hAnsi="Segoe UI" w:cs="Segoe UI"/>
      <w:sz w:val="18"/>
      <w:szCs w:val="18"/>
    </w:rPr>
  </w:style>
  <w:style w:type="character" w:customStyle="1" w:styleId="Ttulo4Car">
    <w:name w:val="Título 4 Car"/>
    <w:basedOn w:val="Fuentedeprrafopredeter"/>
    <w:link w:val="Ttulo4"/>
    <w:uiPriority w:val="9"/>
    <w:semiHidden/>
    <w:rsid w:val="003C7FE0"/>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248599">
      <w:bodyDiv w:val="1"/>
      <w:marLeft w:val="0"/>
      <w:marRight w:val="0"/>
      <w:marTop w:val="0"/>
      <w:marBottom w:val="0"/>
      <w:divBdr>
        <w:top w:val="none" w:sz="0" w:space="0" w:color="auto"/>
        <w:left w:val="none" w:sz="0" w:space="0" w:color="auto"/>
        <w:bottom w:val="none" w:sz="0" w:space="0" w:color="auto"/>
        <w:right w:val="none" w:sz="0" w:space="0" w:color="auto"/>
      </w:divBdr>
    </w:div>
    <w:div w:id="491338913">
      <w:bodyDiv w:val="1"/>
      <w:marLeft w:val="0"/>
      <w:marRight w:val="0"/>
      <w:marTop w:val="0"/>
      <w:marBottom w:val="0"/>
      <w:divBdr>
        <w:top w:val="none" w:sz="0" w:space="0" w:color="auto"/>
        <w:left w:val="none" w:sz="0" w:space="0" w:color="auto"/>
        <w:bottom w:val="none" w:sz="0" w:space="0" w:color="auto"/>
        <w:right w:val="none" w:sz="0" w:space="0" w:color="auto"/>
      </w:divBdr>
    </w:div>
    <w:div w:id="1085107021">
      <w:bodyDiv w:val="1"/>
      <w:marLeft w:val="0"/>
      <w:marRight w:val="0"/>
      <w:marTop w:val="0"/>
      <w:marBottom w:val="0"/>
      <w:divBdr>
        <w:top w:val="none" w:sz="0" w:space="0" w:color="auto"/>
        <w:left w:val="none" w:sz="0" w:space="0" w:color="auto"/>
        <w:bottom w:val="none" w:sz="0" w:space="0" w:color="auto"/>
        <w:right w:val="none" w:sz="0" w:space="0" w:color="auto"/>
      </w:divBdr>
    </w:div>
    <w:div w:id="1323043913">
      <w:bodyDiv w:val="1"/>
      <w:marLeft w:val="0"/>
      <w:marRight w:val="0"/>
      <w:marTop w:val="0"/>
      <w:marBottom w:val="0"/>
      <w:divBdr>
        <w:top w:val="none" w:sz="0" w:space="0" w:color="auto"/>
        <w:left w:val="none" w:sz="0" w:space="0" w:color="auto"/>
        <w:bottom w:val="none" w:sz="0" w:space="0" w:color="auto"/>
        <w:right w:val="none" w:sz="0" w:space="0" w:color="auto"/>
      </w:divBdr>
    </w:div>
    <w:div w:id="1379862087">
      <w:bodyDiv w:val="1"/>
      <w:marLeft w:val="0"/>
      <w:marRight w:val="0"/>
      <w:marTop w:val="0"/>
      <w:marBottom w:val="0"/>
      <w:divBdr>
        <w:top w:val="none" w:sz="0" w:space="0" w:color="auto"/>
        <w:left w:val="none" w:sz="0" w:space="0" w:color="auto"/>
        <w:bottom w:val="none" w:sz="0" w:space="0" w:color="auto"/>
        <w:right w:val="none" w:sz="0" w:space="0" w:color="auto"/>
      </w:divBdr>
    </w:div>
    <w:div w:id="208348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lfinanciero.com.mx/estados/2023/05/27/ley-alina-asi-es-la-iniciativa-sobre-legitima-defensa-tras-el-caso-de-la-policia-alina-narciso/" TargetMode="External"/><Relationship Id="rId2" Type="http://schemas.openxmlformats.org/officeDocument/2006/relationships/hyperlink" Target="https://www.gob.mx/sesnsp/acciones-y-programas/incidencia-delictiva-del-fuero-comun-nueva-metodologia?state=published" TargetMode="External"/><Relationship Id="rId1" Type="http://schemas.openxmlformats.org/officeDocument/2006/relationships/hyperlink" Target="https://www.ohchr.org/es/instruments-mechanisms/instruments/declaration-elimination-violence-against-women" TargetMode="External"/><Relationship Id="rId5" Type="http://schemas.openxmlformats.org/officeDocument/2006/relationships/hyperlink" Target="https://belemdopara.org/recomendacion-general-del-comite-de-expertas-del-mesecvi-no-1-legitima-defensa-y-violencia-contra-las-mujeres-mesecvi-2018/" TargetMode="External"/><Relationship Id="rId4" Type="http://schemas.openxmlformats.org/officeDocument/2006/relationships/hyperlink" Target="https://ibero.mx/prensa/la-justicia-de-roxana-rui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7BFEB-9CFB-4078-B210-9F7EEB7B0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1664</TotalTime>
  <Pages>8</Pages>
  <Words>1604</Words>
  <Characters>8828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LEGISLATURA</dc:creator>
  <cp:keywords/>
  <dc:description/>
  <cp:lastModifiedBy>Nueva</cp:lastModifiedBy>
  <cp:revision>10</cp:revision>
  <cp:lastPrinted>2025-02-27T21:15:00Z</cp:lastPrinted>
  <dcterms:created xsi:type="dcterms:W3CDTF">2025-02-26T17:32:00Z</dcterms:created>
  <dcterms:modified xsi:type="dcterms:W3CDTF">2025-03-03T21:49:00Z</dcterms:modified>
</cp:coreProperties>
</file>